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7C3D5CD2" w:rsidR="00DF75DD" w:rsidRDefault="00E0613F">
            <w:pPr>
              <w:widowControl w:val="0"/>
              <w:spacing w:line="240" w:lineRule="auto"/>
            </w:pPr>
            <w:r>
              <w:t>Untargeted lipidomic</w:t>
            </w:r>
            <w:r w:rsidR="00E84165" w:rsidRPr="00587839">
              <w:t xml:space="preserve"> </w:t>
            </w:r>
            <w:r w:rsidR="00E84165">
              <w:t>profiling</w:t>
            </w:r>
            <w:r w:rsidR="00E84165" w:rsidRPr="00587839">
              <w:t xml:space="preserve"> </w:t>
            </w:r>
            <w:r w:rsidR="00587839" w:rsidRPr="00587839">
              <w:t xml:space="preserve">of the </w:t>
            </w:r>
            <w:r w:rsidR="00980B53">
              <w:t>kidney</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198FED43" w:rsidR="00DF75DD" w:rsidRDefault="0057043B" w:rsidP="006D1FED">
            <w:pPr>
              <w:widowControl w:val="0"/>
              <w:spacing w:line="240" w:lineRule="auto"/>
              <w:jc w:val="both"/>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Frozen tissues were cryopulverized</w:t>
            </w:r>
            <w:r w:rsidR="0057367C">
              <w:t>,</w:t>
            </w:r>
            <w:r w:rsidR="0057367C" w:rsidRPr="0057367C">
              <w:t xml:space="preserve"> homogenized and processed using the Bligh-Dyer method.</w:t>
            </w:r>
            <w:r w:rsidR="0057367C">
              <w:t xml:space="preserve"> </w:t>
            </w:r>
            <w:r w:rsidR="0057367C" w:rsidRPr="0057367C">
              <w:t>Lipid identifications were assigned using LipidSearch (v5.0, Thermo Fisher Scientific) which was used to generate a compound list, and lipid peak areas were quantified in Skyline.</w:t>
            </w:r>
            <w:r w:rsidR="0057367C">
              <w:t xml:space="preserve"> </w:t>
            </w:r>
            <w:r w:rsidRPr="0057043B">
              <w:t xml:space="preserve">Each experimental group contained biological replicates (n = </w:t>
            </w:r>
            <w:r w:rsidR="00FE47C6">
              <w:t>5-</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76C62F54-0F7F-41E6-9D63-B01E96A6D4DD}"/>
    <w:embedItalic r:id="rId2" w:fontKey="{6C5E4F34-F24D-455C-97D4-F7ED3C8FF758}"/>
  </w:font>
  <w:font w:name="Inter Medium">
    <w:charset w:val="00"/>
    <w:family w:val="auto"/>
    <w:pitch w:val="default"/>
    <w:embedRegular r:id="rId3" w:fontKey="{B4AC3FC6-3C11-426E-B880-E117709ACF3F}"/>
  </w:font>
  <w:font w:name="Inter SemiBold">
    <w:charset w:val="00"/>
    <w:family w:val="auto"/>
    <w:pitch w:val="default"/>
    <w:embedItalic r:id="rId4" w:fontKey="{0699ECA5-2FD1-46C7-A841-9CE06209A1A2}"/>
  </w:font>
  <w:font w:name="Calibri">
    <w:panose1 w:val="020F0502020204030204"/>
    <w:charset w:val="00"/>
    <w:family w:val="swiss"/>
    <w:pitch w:val="variable"/>
    <w:sig w:usb0="E4002EFF" w:usb1="C200247B" w:usb2="00000009" w:usb3="00000000" w:csb0="000001FF" w:csb1="00000000"/>
    <w:embedRegular r:id="rId5" w:fontKey="{518077B0-949A-48ED-852D-A3ECCC299FF5}"/>
    <w:embedBold r:id="rId6" w:fontKey="{1B4CCDDD-DE28-4970-B8F7-4ACCA5D7A51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791B74A-DB90-4E15-B0A6-CB6BDAF4B8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B4059"/>
    <w:rsid w:val="00447447"/>
    <w:rsid w:val="0057043B"/>
    <w:rsid w:val="00572D24"/>
    <w:rsid w:val="0057367C"/>
    <w:rsid w:val="00587839"/>
    <w:rsid w:val="006D1FED"/>
    <w:rsid w:val="00980B53"/>
    <w:rsid w:val="00A453B0"/>
    <w:rsid w:val="00DF75DD"/>
    <w:rsid w:val="00E0613F"/>
    <w:rsid w:val="00E84165"/>
    <w:rsid w:val="00F84B88"/>
    <w:rsid w:val="00FE47C6"/>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630</Words>
  <Characters>3594</Characters>
  <Application>Microsoft Office Word</Application>
  <DocSecurity>0</DocSecurity>
  <Lines>138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11</cp:revision>
  <dcterms:created xsi:type="dcterms:W3CDTF">2025-12-10T19:00:00Z</dcterms:created>
  <dcterms:modified xsi:type="dcterms:W3CDTF">2026-01-06T17:09:00Z</dcterms:modified>
</cp:coreProperties>
</file>