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Matthieu Darracq</w:t>
        </w:r>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61BC14EB" w:rsidR="00DF75DD" w:rsidRDefault="00765464">
            <w:pPr>
              <w:widowControl w:val="0"/>
              <w:spacing w:line="240" w:lineRule="auto"/>
            </w:pPr>
            <w:r>
              <w:t>Untargeted lipidomic</w:t>
            </w:r>
            <w:r w:rsidRPr="00587839">
              <w:t xml:space="preserve"> </w:t>
            </w:r>
            <w:r w:rsidR="00974375">
              <w:t>profiling</w:t>
            </w:r>
            <w:r w:rsidR="00974375" w:rsidRPr="00587839">
              <w:t xml:space="preserve"> </w:t>
            </w:r>
            <w:r w:rsidR="00587839" w:rsidRPr="00587839">
              <w:t xml:space="preserve">of the </w:t>
            </w:r>
            <w:r w:rsidR="00447447">
              <w:t>lung</w:t>
            </w:r>
            <w:r w:rsidR="00587839" w:rsidRPr="00587839">
              <w:t xml:space="preserve"> in </w:t>
            </w:r>
            <w:r w:rsidR="00587839" w:rsidRPr="00587839">
              <w:rPr>
                <w:i/>
                <w:iCs/>
              </w:rPr>
              <w:t>G2019S LRRK2</w:t>
            </w:r>
            <w:r w:rsidR="00587839" w:rsidRPr="00587839">
              <w:t xml:space="preserve"> knockin mice under a specialized diet</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198FED43" w:rsidR="00DF75DD" w:rsidRDefault="0057043B" w:rsidP="006D1FED">
            <w:pPr>
              <w:widowControl w:val="0"/>
              <w:spacing w:line="240" w:lineRule="auto"/>
              <w:jc w:val="both"/>
            </w:pPr>
            <w:r w:rsidRPr="0057043B">
              <w:rPr>
                <w:i/>
                <w:iCs/>
              </w:rPr>
              <w:t>G2019S LRRK2</w:t>
            </w:r>
            <w:r w:rsidRPr="0057043B">
              <w:t xml:space="preserve"> knockin mice and their wild-type littermates were maintained on a normal chow diet (23.7% kcal from fat) for the first 11 months of life. At that time, animals were randomly assigned to either a high-fat diet group (60% kcal from fat) or a control diet group (10% kcal from fat). Mice remained on their respective diets for an additional five months. At 16 months of age, </w:t>
            </w:r>
            <w:r w:rsidR="0057367C">
              <w:t>m</w:t>
            </w:r>
            <w:r w:rsidR="0057367C" w:rsidRPr="0057367C">
              <w:t xml:space="preserve">ice were anesthetized with an isoflurane vaporizer, tissue were then collected </w:t>
            </w:r>
            <w:r w:rsidR="0057367C">
              <w:t>and</w:t>
            </w:r>
            <w:r w:rsidR="0057367C" w:rsidRPr="0057367C">
              <w:t xml:space="preserve"> immediately snap frozen in liquid nitrogen</w:t>
            </w:r>
            <w:r w:rsidR="0057367C">
              <w:t xml:space="preserve">. </w:t>
            </w:r>
            <w:r w:rsidR="0057367C" w:rsidRPr="0057367C">
              <w:t>Frozen tissues were cryopulverized</w:t>
            </w:r>
            <w:r w:rsidR="0057367C">
              <w:t>,</w:t>
            </w:r>
            <w:r w:rsidR="0057367C" w:rsidRPr="0057367C">
              <w:t xml:space="preserve"> homogenized and processed using the Bligh-Dyer method.</w:t>
            </w:r>
            <w:r w:rsidR="0057367C">
              <w:t xml:space="preserve"> </w:t>
            </w:r>
            <w:r w:rsidR="0057367C" w:rsidRPr="0057367C">
              <w:t>Lipid identifications were assigned using LipidSearch (v5.0, Thermo Fisher Scientific) which was used to generate a compound list, and lipid peak areas were quantified in Skyline.</w:t>
            </w:r>
            <w:r w:rsidR="0057367C">
              <w:t xml:space="preserve"> </w:t>
            </w:r>
            <w:r w:rsidRPr="0057043B">
              <w:t xml:space="preserve">Each experimental group contained biological replicates (n = </w:t>
            </w:r>
            <w:r w:rsidR="00FE47C6">
              <w:t>5-</w:t>
            </w:r>
            <w:r w:rsidR="0057367C">
              <w:t>6</w:t>
            </w:r>
            <w:r w:rsidRPr="0057043B">
              <w:t xml:space="preserve">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mutations can induce abnormal mitochondrial function, lysosomal activity, autophagy, proteostasis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`project_name`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F2FDAFAE-D70F-40D9-A8DD-CB3CE81E3118}"/>
    <w:embedItalic r:id="rId2" w:fontKey="{1AC00407-16EF-4B01-87F6-56B5DE7E8BEA}"/>
  </w:font>
  <w:font w:name="Inter Medium">
    <w:charset w:val="00"/>
    <w:family w:val="auto"/>
    <w:pitch w:val="default"/>
    <w:embedRegular r:id="rId3" w:fontKey="{71DF19A0-0474-4B2A-838F-46D3DB76FDD2}"/>
  </w:font>
  <w:font w:name="Inter SemiBold">
    <w:charset w:val="00"/>
    <w:family w:val="auto"/>
    <w:pitch w:val="default"/>
    <w:embedItalic r:id="rId4" w:fontKey="{08E71263-622B-478A-9EBD-91FD8ACF2C76}"/>
  </w:font>
  <w:font w:name="Calibri">
    <w:panose1 w:val="020F0502020204030204"/>
    <w:charset w:val="00"/>
    <w:family w:val="swiss"/>
    <w:pitch w:val="variable"/>
    <w:sig w:usb0="E4002EFF" w:usb1="C200247B" w:usb2="00000009" w:usb3="00000000" w:csb0="000001FF" w:csb1="00000000"/>
    <w:embedRegular r:id="rId5" w:fontKey="{60B2F9AE-6F7F-46D0-863C-A1029D1E6D42}"/>
    <w:embedBold r:id="rId6" w:fontKey="{9BAF1FEF-8C2C-4186-88CB-C9E8F9AB0B7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65F818A3-49F8-4EEB-BC25-D57421D55B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447447"/>
    <w:rsid w:val="0057043B"/>
    <w:rsid w:val="00572D24"/>
    <w:rsid w:val="0057367C"/>
    <w:rsid w:val="00587839"/>
    <w:rsid w:val="006D1FED"/>
    <w:rsid w:val="00765464"/>
    <w:rsid w:val="00974375"/>
    <w:rsid w:val="00A453B0"/>
    <w:rsid w:val="00DF75DD"/>
    <w:rsid w:val="00F84B88"/>
    <w:rsid w:val="00FE47C6"/>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3</Pages>
  <Words>630</Words>
  <Characters>3592</Characters>
  <Application>Microsoft Office Word</Application>
  <DocSecurity>0</DocSecurity>
  <Lines>138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9</cp:revision>
  <dcterms:created xsi:type="dcterms:W3CDTF">2025-12-10T19:00:00Z</dcterms:created>
  <dcterms:modified xsi:type="dcterms:W3CDTF">2026-01-06T17:09:00Z</dcterms:modified>
</cp:coreProperties>
</file>