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6g78tm4gi22d"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7dc4xhjw3mre"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69rd3rvdo9c5"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277.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72.5"/>
        <w:gridCol w:w="3390"/>
        <w:gridCol w:w="2490"/>
        <w:tblGridChange w:id="0">
          <w:tblGrid>
            <w:gridCol w:w="1725"/>
            <w:gridCol w:w="1672.5"/>
            <w:gridCol w:w="339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Menozzi</w:t>
            </w:r>
          </w:p>
        </w:tc>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Elisa</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0000-0003-3565-7910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Meslier</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Victoria</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Jouy-en-Josas,France </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0000-0003-2699-0092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Yani</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0009-0009-3426-2897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Geiger</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Mallia</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0009-0005-4430-7914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Macnaughtan</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Jane</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Liver Failure Group, Institute for Liver and Digestive Health, University College London, London WC1E 6BT, UK</w:t>
            </w:r>
          </w:p>
        </w:tc>
        <w:tc>
          <w:tcPr>
            <w:tcMar>
              <w:top w:w="100.0" w:type="dxa"/>
              <w:left w:w="100.0" w:type="dxa"/>
              <w:bottom w:w="100.0" w:type="dxa"/>
              <w:right w:w="100.0" w:type="dxa"/>
            </w:tcMar>
          </w:tcPr>
          <w:p w:rsidR="00000000" w:rsidDel="00000000" w:rsidP="00000000" w:rsidRDefault="00000000" w:rsidRPr="00000000" w14:paraId="0000001D">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0000-0003-1211-9298</w:t>
            </w:r>
          </w:p>
        </w:tc>
      </w:tr>
      <w:tr>
        <w:trPr>
          <w:cantSplit w:val="0"/>
          <w:trHeight w:val="1269.9023437499998" w:hRule="atLeast"/>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Avenali</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Micol</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Brain and Behavioral Sciences, University of Pavia, Pavia, Italy &amp; IRCCS Mondino Foundation, Pavia, Italy</w:t>
            </w:r>
          </w:p>
        </w:tc>
        <w:tc>
          <w:tcPr>
            <w:tcMar>
              <w:top w:w="100.0" w:type="dxa"/>
              <w:left w:w="100.0" w:type="dxa"/>
              <w:bottom w:w="100.0" w:type="dxa"/>
              <w:right w:w="100.0" w:type="dxa"/>
            </w:tcMar>
          </w:tcPr>
          <w:p w:rsidR="00000000" w:rsidDel="00000000" w:rsidP="00000000" w:rsidRDefault="00000000" w:rsidRPr="00000000" w14:paraId="00000021">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0000-0002-7880-9921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Gilles</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Marine</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25">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0009-0003-6650-7824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Calabrese</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Rosaria</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IRCCS Mondino Foundation, Pavia, Italy</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0009-0008-6632-4653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Mitrotti</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Pierfrancesco</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Brain and Behavioral Sciences, University of Pavia, Pavia, Italy &amp; IRCCS Mondino Foundation, Pavia, Italy</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0000-0003-3574-1290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Gallo</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Luca</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Brain and Behavioral Sciences, University of Pavia, Pavia, Italy &amp; IRCCS Mondino Foundation, Pavia, Italy</w:t>
            </w:r>
          </w:p>
        </w:tc>
        <w:tc>
          <w:tcPr>
            <w:tcMar>
              <w:top w:w="100.0" w:type="dxa"/>
              <w:left w:w="100.0" w:type="dxa"/>
              <w:bottom w:w="100.0" w:type="dxa"/>
              <w:right w:w="100.0" w:type="dxa"/>
            </w:tcMar>
          </w:tcPr>
          <w:p w:rsidR="00000000" w:rsidDel="00000000" w:rsidP="00000000" w:rsidRDefault="00000000" w:rsidRPr="00000000" w14:paraId="00000031">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0009-0007-3693-0380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Famechon</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Alexandre</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0009-0009-6298-3755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Lucas Del Pozo</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Sara</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0000-0002-5431-8204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Mezabrovschi</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Roxana</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3D">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0000-0001-8580-0629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Koletsi</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Sofia</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0000-0002-6661-7797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Loefflad</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Nadine</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w:t>
            </w:r>
          </w:p>
          <w:p w:rsidR="00000000" w:rsidDel="00000000" w:rsidP="00000000" w:rsidRDefault="00000000" w:rsidRPr="00000000" w14:paraId="0000004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46">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0000-0002-9940-7753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Yalkic</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Selen</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w:t>
            </w:r>
          </w:p>
          <w:p w:rsidR="00000000" w:rsidDel="00000000" w:rsidP="00000000" w:rsidRDefault="00000000" w:rsidRPr="00000000" w14:paraId="0000004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4B">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0000-0002-9811-6612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Limbachiya</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Naomi</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Blottière</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Hervé</w:t>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 &amp;</w:t>
            </w:r>
          </w:p>
          <w:p w:rsidR="00000000" w:rsidDel="00000000" w:rsidP="00000000" w:rsidRDefault="00000000" w:rsidRPr="00000000" w14:paraId="0000005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Nantes Université, INRAE, UMR 1280, PhAN Nantes FR</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0000-0002-8390-0607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Morabito</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58">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0000-0002-3193-7299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David</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Aymeric</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0000-0002-4951-0058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Quinquis</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Benoit</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0000-0002-7573-969X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Pons</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Nicolas</w:t>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64">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0000-0003-1926-8077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Valzania</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Franco</w:t>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Neurology Unit, Azienda Unità Sanitaria Locale-IRCCS di Reggio Emilia, Via Amendola 2, 42122, Reggio Emilia, Italy</w:t>
            </w:r>
          </w:p>
        </w:tc>
        <w:tc>
          <w:tcPr>
            <w:tcMar>
              <w:top w:w="100.0" w:type="dxa"/>
              <w:left w:w="100.0" w:type="dxa"/>
              <w:bottom w:w="100.0" w:type="dxa"/>
              <w:right w:w="100.0" w:type="dxa"/>
            </w:tcMar>
          </w:tcPr>
          <w:p w:rsidR="00000000" w:rsidDel="00000000" w:rsidP="00000000" w:rsidRDefault="00000000" w:rsidRPr="00000000" w14:paraId="00000068">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0000-0003-4887-1692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Cavallieri</w:t>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Francesco</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Neurology Unit, Azienda Unità Sanitaria Locale-IRCCS di Reggio Emilia, Via Amendola 2, 42122, Reggio Emilia, Italy</w:t>
            </w:r>
          </w:p>
        </w:tc>
        <w:tc>
          <w:tcPr>
            <w:tcMar>
              <w:top w:w="100.0" w:type="dxa"/>
              <w:left w:w="100.0" w:type="dxa"/>
              <w:bottom w:w="100.0" w:type="dxa"/>
              <w:right w:w="100.0" w:type="dxa"/>
            </w:tcMar>
          </w:tcPr>
          <w:p w:rsidR="00000000" w:rsidDel="00000000" w:rsidP="00000000" w:rsidRDefault="00000000" w:rsidRPr="00000000" w14:paraId="0000006C">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0000-0001-5836-1982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Fioravanti</w:t>
            </w:r>
          </w:p>
        </w:tc>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Valentina</w:t>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Neurology Unit, Azienda Unità Sanitaria Locale-IRCCS di Reggio Emilia, Via Amendola 2, 42122, Reggio Emilia, Italy</w:t>
            </w:r>
          </w:p>
        </w:tc>
        <w:tc>
          <w:tcPr>
            <w:tcMar>
              <w:top w:w="100.0" w:type="dxa"/>
              <w:left w:w="100.0" w:type="dxa"/>
              <w:bottom w:w="100.0" w:type="dxa"/>
              <w:right w:w="100.0" w:type="dxa"/>
            </w:tcMar>
          </w:tcPr>
          <w:p w:rsidR="00000000" w:rsidDel="00000000" w:rsidP="00000000" w:rsidRDefault="00000000" w:rsidRPr="00000000" w14:paraId="00000070">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0000-0003-2741-0512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Toschi</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Giulia</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Neurology Unit, Azienda Unità Sanitaria Locale-IRCCS di Reggio Emilia, Via Amendola 2, 42122, Reggio Emilia, Italy</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0009-0003-1987-0495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Blandini</w:t>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Fabio</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Brain and Behavioral Sciences, University of Pavia, Pavia, Italy &amp; IRCCS Ca' Granda Foundation, Ospedale Maggiore Policlinico, Milan, Italy</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0000-0002-0178-1289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Ehrlich</w:t>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Stanislav Dusko</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Arial" w:cs="Arial" w:eastAsia="Arial" w:hAnsi="Arial"/>
                <w:sz w:val="20"/>
                <w:szCs w:val="20"/>
              </w:rPr>
            </w:pPr>
            <w:hyperlink r:id="rId8">
              <w:r w:rsidDel="00000000" w:rsidR="00000000" w:rsidRPr="00000000">
                <w:rPr>
                  <w:rFonts w:ascii="Arial" w:cs="Arial" w:eastAsia="Arial" w:hAnsi="Arial"/>
                  <w:sz w:val="20"/>
                  <w:szCs w:val="20"/>
                  <w:rtl w:val="0"/>
                </w:rPr>
                <w:t xml:space="preserve">0000-0002-7563-4046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Almeida</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Mathieu</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Aligning Science Across Parkinson’s (ASAP) Collaborative Research Network, Chevy Chase, MD, 20815 &amp; Université Paris-Saclay, INRAE, MGP, 78350 Jouy-en-Josas, France</w:t>
            </w:r>
          </w:p>
        </w:tc>
        <w:tc>
          <w:tcPr>
            <w:tcMar>
              <w:top w:w="100.0" w:type="dxa"/>
              <w:left w:w="100.0" w:type="dxa"/>
              <w:bottom w:w="100.0" w:type="dxa"/>
              <w:right w:w="100.0" w:type="dxa"/>
            </w:tcMar>
          </w:tcPr>
          <w:p w:rsidR="00000000" w:rsidDel="00000000" w:rsidP="00000000" w:rsidRDefault="00000000" w:rsidRPr="00000000" w14:paraId="00000080">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0000-0003-4971-0049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Schapira</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Anthony HV</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Clinical and Movement Neurosciences, UCL Queen Square Institute of Neurology, London, UK &amp; Aligning Science Across Parkinson’s (ASAP) Collaborative Research Network, Chevy Chase, MD, 20815</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0000-0002-3018-3966</w:t>
            </w:r>
          </w:p>
        </w:tc>
      </w:tr>
    </w:tbl>
    <w:p w:rsidR="00000000" w:rsidDel="00000000" w:rsidP="00000000" w:rsidRDefault="00000000" w:rsidRPr="00000000" w14:paraId="00000085">
      <w:pPr>
        <w:pStyle w:val="Heading1"/>
        <w:rPr>
          <w:rFonts w:ascii="Arial" w:cs="Arial" w:eastAsia="Arial" w:hAnsi="Arial"/>
          <w:b w:val="1"/>
          <w:bCs w:val="1"/>
          <w:color w:val="008dc3"/>
          <w:sz w:val="32"/>
          <w:szCs w:val="32"/>
          <w:u w:val="single"/>
        </w:rPr>
      </w:pPr>
      <w:bookmarkStart w:colFirst="0" w:colLast="0" w:name="_mp77t747ff8r" w:id="3"/>
      <w:bookmarkEnd w:id="3"/>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86">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Arial" w:cs="Arial" w:eastAsia="Arial" w:hAnsi="Arial"/>
              </w:rPr>
            </w:pPr>
            <w:r w:rsidDel="00000000" w:rsidR="00000000" w:rsidRPr="00000000">
              <w:rPr>
                <w:rFonts w:ascii="Arial" w:cs="Arial" w:eastAsia="Arial" w:hAnsi="Arial"/>
                <w:rtl w:val="0"/>
              </w:rPr>
              <w:t xml:space="preserve">Human fecal shotgun metagenomic sequencing in Parkinson’s disease individuals, non-manifesting </w:t>
            </w:r>
            <w:r w:rsidDel="00000000" w:rsidR="00000000" w:rsidRPr="00000000">
              <w:rPr>
                <w:rFonts w:ascii="Arial" w:cs="Arial" w:eastAsia="Arial" w:hAnsi="Arial"/>
                <w:i w:val="1"/>
                <w:iCs w:val="1"/>
                <w:rtl w:val="0"/>
              </w:rPr>
              <w:t xml:space="preserve">GBA1</w:t>
            </w:r>
            <w:r w:rsidDel="00000000" w:rsidR="00000000" w:rsidRPr="00000000">
              <w:rPr>
                <w:rFonts w:ascii="Arial" w:cs="Arial" w:eastAsia="Arial" w:hAnsi="Arial"/>
                <w:rtl w:val="0"/>
              </w:rPr>
              <w:t xml:space="preserve"> variant carriers and healthy controls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Arial" w:cs="Arial" w:eastAsia="Arial" w:hAnsi="Arial"/>
              </w:rPr>
            </w:pPr>
            <w:r w:rsidDel="00000000" w:rsidR="00000000" w:rsidRPr="00000000">
              <w:rPr>
                <w:rFonts w:ascii="Arial" w:cs="Arial" w:eastAsia="Arial" w:hAnsi="Arial"/>
                <w:rtl w:val="0"/>
              </w:rPr>
              <w:t xml:space="preserve">The microbial species abundance table: list of microbial species detected from fecal samples sequenced by shotgun metagenomic sequencing. Software used: METEOR, in combination with human digestive (gut and oral) microbial species catalogues. The species are listed as msp_ID, which corresponds to metagenomic species pangenomes (MSPs), which is a collection of known or still unknown species reconstructed from human gut metagenomic assemblies. The MSPs are annotated at all taxonomical level using the Genome Taxonomy Database GDTB R07-RS207 database, up until the lowest known taxonomical rank.</w:t>
            </w:r>
          </w:p>
          <w:p w:rsidR="00000000" w:rsidDel="00000000" w:rsidP="00000000" w:rsidRDefault="00000000" w:rsidRPr="00000000" w14:paraId="0000008B">
            <w:pPr>
              <w:widowControl w:val="0"/>
              <w:spacing w:line="240" w:lineRule="auto"/>
              <w:rPr/>
            </w:pPr>
            <w:r w:rsidDel="00000000" w:rsidR="00000000" w:rsidRPr="00000000">
              <w:rPr>
                <w:rFonts w:ascii="Arial" w:cs="Arial" w:eastAsia="Arial" w:hAnsi="Arial"/>
                <w:rtl w:val="0"/>
              </w:rPr>
              <w:t xml:space="preserve">The microbial functional abundance table: list of microbial functions detected from fecal samples sequenced by shotgun metagenomic sequencing. Software used: METEOR, in combination with human digestive (gut and oral) microbial gene catalogues and annotated with KEGG, eggNOG and TIGRFAM databases. These databases are used to infer the presence, abundance and completeness of functional modules (Gut-Brain modules, Gut-Metabolic modules and KEGG modules) in each metagenomic samples.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8E">
      <w:pPr>
        <w:jc w:val="both"/>
        <w:rPr>
          <w:rFonts w:ascii="Arial" w:cs="Arial" w:eastAsia="Arial" w:hAnsi="Arial"/>
        </w:rPr>
      </w:pPr>
      <w:r w:rsidDel="00000000" w:rsidR="00000000" w:rsidRPr="00000000">
        <w:rPr>
          <w:rtl w:val="0"/>
        </w:rPr>
      </w:r>
    </w:p>
    <w:p w:rsidR="00000000" w:rsidDel="00000000" w:rsidP="00000000" w:rsidRDefault="00000000" w:rsidRPr="00000000" w14:paraId="0000008F">
      <w:pPr>
        <w:numPr>
          <w:ilvl w:val="0"/>
          <w:numId w:val="1"/>
        </w:numPr>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p w:rsidR="00000000" w:rsidDel="00000000" w:rsidP="00000000" w:rsidRDefault="00000000" w:rsidRPr="00000000" w14:paraId="00000091">
      <w:pPr>
        <w:numPr>
          <w:ilvl w:val="0"/>
          <w:numId w:val="1"/>
        </w:numPr>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92">
      <w:pPr>
        <w:ind w:left="720" w:firstLine="0"/>
        <w:jc w:val="both"/>
        <w:rPr>
          <w:sz w:val="20"/>
          <w:szCs w:val="20"/>
        </w:rPr>
      </w:pPr>
      <w:r w:rsidDel="00000000" w:rsidR="00000000" w:rsidRPr="00000000">
        <w:rPr>
          <w:rtl w:val="0"/>
        </w:rPr>
      </w:r>
    </w:p>
    <w:p w:rsidR="00000000" w:rsidDel="00000000" w:rsidP="00000000" w:rsidRDefault="00000000" w:rsidRPr="00000000" w14:paraId="00000093">
      <w:pPr>
        <w:pStyle w:val="Heading1"/>
        <w:jc w:val="both"/>
        <w:rPr>
          <w:rFonts w:ascii="Arial" w:cs="Arial" w:eastAsia="Arial" w:hAnsi="Arial"/>
          <w:b w:val="1"/>
          <w:bCs w:val="1"/>
          <w:color w:val="008dc3"/>
          <w:sz w:val="32"/>
          <w:szCs w:val="32"/>
          <w:u w:val="single"/>
        </w:rPr>
      </w:pPr>
      <w:bookmarkStart w:colFirst="0" w:colLast="0" w:name="_mfawlbw7ik99" w:id="4"/>
      <w:bookmarkEnd w:id="4"/>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95">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rFonts w:ascii="Arial" w:cs="Arial" w:eastAsia="Arial" w:hAnsi="Arial"/>
              </w:rPr>
            </w:pPr>
            <w:r w:rsidDel="00000000" w:rsidR="00000000" w:rsidRPr="00000000">
              <w:rPr>
                <w:rFonts w:ascii="Arial" w:cs="Arial" w:eastAsia="Arial" w:hAnsi="Arial"/>
                <w:rtl w:val="0"/>
              </w:rPr>
              <w:t xml:space="preserve">Microbiome signature of Parkinson’s disease in non-manifesting </w:t>
            </w:r>
            <w:r w:rsidDel="00000000" w:rsidR="00000000" w:rsidRPr="00000000">
              <w:rPr>
                <w:rFonts w:ascii="Arial" w:cs="Arial" w:eastAsia="Arial" w:hAnsi="Arial"/>
                <w:i w:val="1"/>
                <w:iCs w:val="1"/>
                <w:rtl w:val="0"/>
              </w:rPr>
              <w:t xml:space="preserve">GBA1</w:t>
            </w:r>
            <w:r w:rsidDel="00000000" w:rsidR="00000000" w:rsidRPr="00000000">
              <w:rPr>
                <w:rFonts w:ascii="Arial" w:cs="Arial" w:eastAsia="Arial" w:hAnsi="Arial"/>
                <w:rtl w:val="0"/>
              </w:rPr>
              <w:t xml:space="preserve"> variant carriers and healthy individuals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Arial" w:cs="Arial" w:eastAsia="Arial" w:hAnsi="Arial"/>
              </w:rPr>
            </w:pPr>
            <w:r w:rsidDel="00000000" w:rsidR="00000000" w:rsidRPr="00000000">
              <w:rPr>
                <w:rFonts w:ascii="Arial" w:cs="Arial" w:eastAsia="Arial" w:hAnsi="Arial"/>
                <w:rtl w:val="0"/>
              </w:rPr>
              <w:t xml:space="preserve">This is a cross-sectional study comparing the gut (fecal) microbiome composition, analyzed thorough shotgun metagenomic sequencing, of three groups of individuals: 1) individuals with manifest Parkinson’s disease, 2) non-manifesting </w:t>
            </w:r>
            <w:r w:rsidDel="00000000" w:rsidR="00000000" w:rsidRPr="00000000">
              <w:rPr>
                <w:rFonts w:ascii="Arial" w:cs="Arial" w:eastAsia="Arial" w:hAnsi="Arial"/>
                <w:i w:val="1"/>
                <w:iCs w:val="1"/>
                <w:rtl w:val="0"/>
              </w:rPr>
              <w:t xml:space="preserve">GBA1</w:t>
            </w:r>
            <w:r w:rsidDel="00000000" w:rsidR="00000000" w:rsidRPr="00000000">
              <w:rPr>
                <w:rFonts w:ascii="Arial" w:cs="Arial" w:eastAsia="Arial" w:hAnsi="Arial"/>
                <w:rtl w:val="0"/>
              </w:rPr>
              <w:t xml:space="preserve"> variant carriers (individuals who are at increased risk of developing Parkinson’s disease because carriers of </w:t>
            </w:r>
            <w:r w:rsidDel="00000000" w:rsidR="00000000" w:rsidRPr="00000000">
              <w:rPr>
                <w:rFonts w:ascii="Arial" w:cs="Arial" w:eastAsia="Arial" w:hAnsi="Arial"/>
                <w:i w:val="1"/>
                <w:iCs w:val="1"/>
                <w:rtl w:val="0"/>
              </w:rPr>
              <w:t xml:space="preserve">GBA1</w:t>
            </w:r>
            <w:r w:rsidDel="00000000" w:rsidR="00000000" w:rsidRPr="00000000">
              <w:rPr>
                <w:rFonts w:ascii="Arial" w:cs="Arial" w:eastAsia="Arial" w:hAnsi="Arial"/>
                <w:rtl w:val="0"/>
              </w:rPr>
              <w:t xml:space="preserve"> genetic variants), and 3) healthy controls. The study also evaluated associations between gut microbiome alterations and clinical features suggestive of Parkinson’s disease, in both Parkinson’s disease and non-parkinsonian individuals (</w:t>
            </w:r>
            <w:r w:rsidDel="00000000" w:rsidR="00000000" w:rsidRPr="00000000">
              <w:rPr>
                <w:rFonts w:ascii="Arial" w:cs="Arial" w:eastAsia="Arial" w:hAnsi="Arial"/>
                <w:i w:val="1"/>
                <w:iCs w:val="1"/>
                <w:rtl w:val="0"/>
              </w:rPr>
              <w:t xml:space="preserve">GBA1</w:t>
            </w:r>
            <w:r w:rsidDel="00000000" w:rsidR="00000000" w:rsidRPr="00000000">
              <w:rPr>
                <w:rFonts w:ascii="Arial" w:cs="Arial" w:eastAsia="Arial" w:hAnsi="Arial"/>
                <w:rtl w:val="0"/>
              </w:rPr>
              <w:t xml:space="preserve"> variant carriers and healthy controls).</w:t>
            </w:r>
          </w:p>
          <w:p w:rsidR="00000000" w:rsidDel="00000000" w:rsidP="00000000" w:rsidRDefault="00000000" w:rsidRPr="00000000" w14:paraId="0000009A">
            <w:pPr>
              <w:widowControl w:val="0"/>
              <w:spacing w:line="240" w:lineRule="auto"/>
              <w:rPr>
                <w:rFonts w:ascii="Arial" w:cs="Arial" w:eastAsia="Arial" w:hAnsi="Arial"/>
              </w:rPr>
            </w:pPr>
            <w:r w:rsidDel="00000000" w:rsidR="00000000" w:rsidRPr="00000000">
              <w:rPr>
                <w:rFonts w:ascii="Arial" w:cs="Arial" w:eastAsia="Arial" w:hAnsi="Arial"/>
                <w:rtl w:val="0"/>
              </w:rPr>
              <w:t xml:space="preserve">For the three groups, the following datasets have been generated:</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 dataset including demographics and clinical features;</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 dataset including the list of microbial species detected from fecal samples sequenced by shotgun metagenomic sequencing (microbial species abundance table);</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 dataset including the list of microbial functions detected from fecal samples sequenced by shotgun metagenomic sequencing (microbial functional abundance table).</w:t>
            </w:r>
            <w:r w:rsidDel="00000000" w:rsidR="00000000" w:rsidRPr="00000000">
              <w:rPr>
                <w:rtl w:val="0"/>
              </w:rPr>
            </w:r>
          </w:p>
        </w:tc>
      </w:tr>
    </w:tbl>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numPr>
          <w:ilvl w:val="0"/>
          <w:numId w:val="1"/>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numPr>
          <w:ilvl w:val="0"/>
          <w:numId w:val="1"/>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br w:type="textWrapping"/>
      </w:r>
    </w:p>
    <w:p w:rsidR="00000000" w:rsidDel="00000000" w:rsidP="00000000" w:rsidRDefault="00000000" w:rsidRPr="00000000" w14:paraId="000000A3">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orcid.org/0000-0002-7563-40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