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fugcl25otfvu"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i7xapgknn1er"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7d7x9bf8i6nx"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RNA sequencing (10x) of postmortem cingulate cortex and midbrain of healthy donors and Parkinson’s disease patients – 10x snRNA-seq.</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snRNA-seq data (10x Genomics Chromium Next GEM Single Cell 3ʹ).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and to prepare sequencing libraries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has been used. The population VCF with the donor genotypes derived from whole genome sequencing data has been used to assign nuclei back to their donors.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ewke5h799266"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b6Dr09W3aVPZ/bnYTofDQo3Q==">CgMxLjAyDmguZnVnY2wyNW90ZnZ1Mg5oLmk3eGFwZ2tubjFlcjIOaC43ZDd4OWJmOGk2bngyDmguZXdrZTVoNzk5MjY2OAByITFYWnI4MDA0TXRkNHRLZmsyUzRxUE9tRDlpZ1V5RnVVUA==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2026-03-10T16:51:00.0000000Z</dcterms:created>
</cp:coreProperties>
</file>