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1455230712891" w:right="0" w:firstLine="0"/>
        <w:jc w:val="left"/>
        <w:rPr>
          <w:rFonts w:ascii="Calibri" w:cs="Calibri" w:eastAsia="Calibri" w:hAnsi="Calibri"/>
          <w:b w:val="0"/>
          <w:i w:val="0"/>
          <w:smallCaps w:val="0"/>
          <w:strike w:val="0"/>
          <w:color w:val="1f1f1f"/>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1f1f1f"/>
          <w:sz w:val="51.84000015258789"/>
          <w:szCs w:val="51.84000015258789"/>
          <w:u w:val="none"/>
          <w:shd w:fill="auto" w:val="clear"/>
          <w:vertAlign w:val="baseline"/>
          <w:rtl w:val="0"/>
        </w:rPr>
        <w:t xml:space="preserve">Dataset Contributor Information Template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27197265625" w:line="279.8881530761719" w:lineRule="auto"/>
        <w:ind w:left="491.2799835205078" w:right="459.432373046875" w:hanging="2.400054931640625"/>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 of-truth for the dataset’s DOI and the ASAP CRN Cloud description card.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632568359375" w:line="240" w:lineRule="auto"/>
        <w:ind w:left="508.32481384277344" w:right="0" w:firstLine="0"/>
        <w:jc w:val="left"/>
        <w:rPr>
          <w:rFonts w:ascii="Calibri" w:cs="Calibri" w:eastAsia="Calibri" w:hAnsi="Calibri"/>
          <w:b w:val="0"/>
          <w:i w:val="0"/>
          <w:smallCaps w:val="0"/>
          <w:strike w:val="0"/>
          <w:color w:val="1f1f1f"/>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1f1f1f"/>
          <w:sz w:val="39.84000015258789"/>
          <w:szCs w:val="39.84000015258789"/>
          <w:u w:val="none"/>
          <w:shd w:fill="auto" w:val="clear"/>
          <w:vertAlign w:val="baseline"/>
          <w:rtl w:val="0"/>
        </w:rPr>
        <w:t xml:space="preserve">Creator (Author) Information</w:t>
      </w:r>
    </w:p>
    <w:tbl>
      <w:tblPr>
        <w:tblStyle w:val="Table1"/>
        <w:tblW w:w="9935.99967956543" w:type="dxa"/>
        <w:jc w:val="left"/>
        <w:tblInd w:w="19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1.5999603271484"/>
        <w:gridCol w:w="2486.3998413085938"/>
        <w:gridCol w:w="2481.600341796875"/>
        <w:gridCol w:w="2486.3995361328125"/>
        <w:tblGridChange w:id="0">
          <w:tblGrid>
            <w:gridCol w:w="2481.5999603271484"/>
            <w:gridCol w:w="2486.3998413085938"/>
            <w:gridCol w:w="2481.600341796875"/>
            <w:gridCol w:w="2486.3995361328125"/>
          </w:tblGrid>
        </w:tblGridChange>
      </w:tblGrid>
      <w:tr>
        <w:trPr>
          <w:cantSplit w:val="0"/>
          <w:trHeight w:val="5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09020996094"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Last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38720703125"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First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Affiliation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ORCID</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806518554688"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Simmons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14355468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Sean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0000-0002-1537-4000</w:t>
            </w:r>
          </w:p>
        </w:tc>
      </w:tr>
      <w:tr>
        <w:trPr>
          <w:cantSplit w:val="0"/>
          <w:trHeight w:val="5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013854980469"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Scherzer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38232421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Clemens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0000-0002-0567-9193</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09020996094"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Dong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4946289062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Xianjun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0000-0002-8052-9320</w:t>
            </w:r>
          </w:p>
        </w:tc>
      </w:tr>
      <w:tr>
        <w:trPr>
          <w:cantSplit w:val="0"/>
          <w:trHeight w:val="53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09020996094"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Levin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38476562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Joshua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0000-0002-0170-3598</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806518554688"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Serrano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4726562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Geidy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0000-0002-9527-2011</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09020996094"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Beach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946777343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Thomas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0000-0003-3296-6128</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808532714844"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Cline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3872070312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Madison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0000-0001-9672-7738</w:t>
            </w:r>
          </w:p>
        </w:tc>
      </w:tr>
      <w:tr>
        <w:trPr>
          <w:cantSplit w:val="0"/>
          <w:trHeight w:val="5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09020996094"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Liao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1625976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Zhixiang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Calibri" w:cs="Calibri" w:eastAsia="Calibri" w:hAnsi="Calibri"/>
                <w:b w:val="0"/>
                <w:i w:val="0"/>
                <w:smallCaps w:val="0"/>
                <w:strike w:val="0"/>
                <w:color w:val="1f1f1f"/>
                <w:sz w:val="18.239999771118164"/>
                <w:szCs w:val="18.239999771118164"/>
                <w:u w:val="none"/>
                <w:shd w:fill="auto" w:val="clear"/>
                <w:vertAlign w:val="baseline"/>
              </w:rPr>
            </w:pPr>
            <w:r w:rsidDel="00000000" w:rsidR="00000000" w:rsidRPr="00000000">
              <w:rPr>
                <w:rFonts w:ascii="Calibri" w:cs="Calibri" w:eastAsia="Calibri" w:hAnsi="Calibri"/>
                <w:b w:val="0"/>
                <w:i w:val="0"/>
                <w:smallCaps w:val="0"/>
                <w:strike w:val="0"/>
                <w:color w:val="1f1f1f"/>
                <w:sz w:val="18.239999771118164"/>
                <w:szCs w:val="18.239999771118164"/>
                <w:u w:val="none"/>
                <w:shd w:fill="auto" w:val="clear"/>
                <w:vertAlign w:val="baseline"/>
                <w:rtl w:val="0"/>
              </w:rPr>
              <w:t xml:space="preserve">0000-0001-7014-5465</w:t>
            </w:r>
          </w:p>
        </w:tc>
      </w:tr>
      <w:tr>
        <w:trPr>
          <w:cantSplit w:val="0"/>
          <w:trHeight w:val="5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809448242188"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Tuncali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722412109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Idil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1f1f1f"/>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1f1f1f"/>
                <w:sz w:val="18.239999771118164"/>
                <w:szCs w:val="18.239999771118164"/>
                <w:u w:val="none"/>
                <w:shd w:fill="auto" w:val="clear"/>
                <w:vertAlign w:val="baseline"/>
                <w:rtl w:val="0"/>
              </w:rPr>
              <w:t xml:space="preserve">0000-0001-5549-3082</w:t>
            </w:r>
          </w:p>
        </w:tc>
      </w:tr>
      <w:tr>
        <w:trPr>
          <w:cantSplit w:val="0"/>
          <w:trHeight w:val="5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806518554688"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Sharma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722412109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Monika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0000-0002-7258-1399</w:t>
            </w:r>
          </w:p>
        </w:tc>
      </w:tr>
      <w:tr>
        <w:trPr>
          <w:cantSplit w:val="0"/>
          <w:trHeight w:val="55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09020996094"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Parker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77062988281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Jacob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0000-0001-9425-6418</w:t>
            </w:r>
          </w:p>
        </w:tc>
      </w:tr>
      <w:tr>
        <w:trPr>
          <w:cantSplit w:val="0"/>
          <w:trHeight w:val="55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09020996094"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Lin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1625976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Zechuan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0000-0003-2270-5194</w:t>
            </w:r>
          </w:p>
        </w:tc>
      </w:tr>
      <w:tr>
        <w:trPr>
          <w:cantSplit w:val="0"/>
          <w:trHeight w:val="5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81079101562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Yuan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77062988281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Jie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0000-0002-5626-2881</w:t>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09020996094"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Haywood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722412109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Nathan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0000-0003-2213-5080</w:t>
            </w:r>
          </w:p>
        </w:tc>
      </w:tr>
      <w:tr>
        <w:trPr>
          <w:cantSplit w:val="0"/>
          <w:trHeight w:val="55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09020996094"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Lin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722412109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Maoxuan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0000-0001-5191-1857</w:t>
            </w:r>
          </w:p>
        </w:tc>
      </w:tr>
      <w:tr>
        <w:trPr>
          <w:cantSplit w:val="0"/>
          <w:trHeight w:val="551.99966430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09020996094"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Kim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722412109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Kwanho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0000-0002-4448-3193</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9935.99967956543" w:type="dxa"/>
        <w:jc w:val="left"/>
        <w:tblInd w:w="19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1.5999603271484"/>
        <w:gridCol w:w="2486.3998413085938"/>
        <w:gridCol w:w="2481.600341796875"/>
        <w:gridCol w:w="2486.3995361328125"/>
        <w:tblGridChange w:id="0">
          <w:tblGrid>
            <w:gridCol w:w="2481.5999603271484"/>
            <w:gridCol w:w="2486.3998413085938"/>
            <w:gridCol w:w="2481.600341796875"/>
            <w:gridCol w:w="2486.3995361328125"/>
          </w:tblGrid>
        </w:tblGridChange>
      </w:tblGrid>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09020996094"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Last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38720703125"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First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Affiliation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ORCID</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809448242188"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Teng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1083984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Xufei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0000-0001-9282-4282</w:t>
            </w:r>
          </w:p>
        </w:tc>
      </w:tr>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09020996094"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El Kodsi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722412109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Daniel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0000-0002-8896-0043</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0655670166016" w:right="0" w:firstLine="0"/>
        <w:jc w:val="left"/>
        <w:rPr>
          <w:rFonts w:ascii="Calibri" w:cs="Calibri" w:eastAsia="Calibri" w:hAnsi="Calibri"/>
          <w:b w:val="0"/>
          <w:i w:val="0"/>
          <w:smallCaps w:val="0"/>
          <w:strike w:val="0"/>
          <w:color w:val="1f1f1f"/>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1f1f1f"/>
          <w:sz w:val="39.84000015258789"/>
          <w:szCs w:val="39.84000015258789"/>
          <w:u w:val="none"/>
          <w:shd w:fill="auto" w:val="clear"/>
          <w:vertAlign w:val="baseline"/>
          <w:rtl w:val="0"/>
        </w:rPr>
        <w:t xml:space="preserve">Dataset Details </w:t>
      </w:r>
    </w:p>
    <w:tbl>
      <w:tblPr>
        <w:tblStyle w:val="Table3"/>
        <w:tblW w:w="10320.00038146972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1.2000274658203"/>
        <w:gridCol w:w="7828.800354003906"/>
        <w:tblGridChange w:id="0">
          <w:tblGrid>
            <w:gridCol w:w="2491.2000274658203"/>
            <w:gridCol w:w="7828.800354003906"/>
          </w:tblGrid>
        </w:tblGridChange>
      </w:tblGrid>
      <w:tr>
        <w:trPr>
          <w:cantSplit w:val="0"/>
          <w:trHeight w:val="7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1795654296875" w:firstLine="0"/>
              <w:jc w:val="right"/>
              <w:rPr>
                <w:rFonts w:ascii="Calibri" w:cs="Calibri" w:eastAsia="Calibri" w:hAnsi="Calibri"/>
                <w:b w:val="0"/>
                <w:i w:val="0"/>
                <w:smallCaps w:val="0"/>
                <w:strike w:val="0"/>
                <w:color w:val="1f1f1f"/>
                <w:sz w:val="24"/>
                <w:szCs w:val="24"/>
                <w:u w:val="none"/>
                <w:shd w:fill="cccccc" w:val="clear"/>
                <w:vertAlign w:val="baseline"/>
              </w:rPr>
            </w:pPr>
            <w:r w:rsidDel="00000000" w:rsidR="00000000" w:rsidRPr="00000000">
              <w:rPr>
                <w:rFonts w:ascii="Calibri" w:cs="Calibri" w:eastAsia="Calibri" w:hAnsi="Calibri"/>
                <w:b w:val="0"/>
                <w:i w:val="0"/>
                <w:smallCaps w:val="0"/>
                <w:strike w:val="0"/>
                <w:color w:val="1f1f1f"/>
                <w:sz w:val="24"/>
                <w:szCs w:val="24"/>
                <w:u w:val="none"/>
                <w:shd w:fill="cccccc" w:val="clear"/>
                <w:vertAlign w:val="baseline"/>
                <w:rtl w:val="0"/>
              </w:rPr>
              <w:t xml:space="preserve">Dataset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618286132812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PD5D_MTG_snRNAseq_hybsel</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14422607421875" w:firstLine="0"/>
              <w:jc w:val="right"/>
              <w:rPr>
                <w:rFonts w:ascii="Calibri" w:cs="Calibri" w:eastAsia="Calibri" w:hAnsi="Calibri"/>
                <w:b w:val="0"/>
                <w:i w:val="0"/>
                <w:smallCaps w:val="0"/>
                <w:strike w:val="0"/>
                <w:color w:val="1f1f1f"/>
                <w:sz w:val="24"/>
                <w:szCs w:val="24"/>
                <w:u w:val="none"/>
                <w:shd w:fill="cccccc" w:val="clear"/>
                <w:vertAlign w:val="baseline"/>
              </w:rPr>
            </w:pPr>
            <w:r w:rsidDel="00000000" w:rsidR="00000000" w:rsidRPr="00000000">
              <w:rPr>
                <w:rFonts w:ascii="Calibri" w:cs="Calibri" w:eastAsia="Calibri" w:hAnsi="Calibri"/>
                <w:b w:val="0"/>
                <w:i w:val="0"/>
                <w:smallCaps w:val="0"/>
                <w:strike w:val="0"/>
                <w:color w:val="1f1f1f"/>
                <w:sz w:val="24"/>
                <w:szCs w:val="24"/>
                <w:u w:val="none"/>
                <w:shd w:fill="cccccc" w:val="clear"/>
                <w:vertAlign w:val="baseline"/>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494720459" w:lineRule="auto"/>
              <w:ind w:left="112.0819091796875" w:right="41.934814453125" w:hanging="2.39990234375"/>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This dataset contains the raw data in FASTQ format for single-nucleus RNA  sequencing (snRNAseq) enriched with Agilent SureSelect for reads from a list  of targeted transcripts for human middle temporal gyrus (MTG) samples from  Parkinson’s patients and healthy controls. This data comes from the same 10X  libraries as PD5D_MTG_snRNAseq, except with the additional enrichment  step before sequencing. It’s part of the PD5D cohort, where the same subjects  were also profiled with other omics assays incl. genotyping, single-cell  ATACseq, and spatial transcriptomics.</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0655670166016" w:right="0" w:firstLine="0"/>
        <w:jc w:val="left"/>
        <w:rPr>
          <w:rFonts w:ascii="Calibri" w:cs="Calibri" w:eastAsia="Calibri" w:hAnsi="Calibri"/>
          <w:b w:val="0"/>
          <w:i w:val="0"/>
          <w:smallCaps w:val="0"/>
          <w:strike w:val="0"/>
          <w:color w:val="1f1f1f"/>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1f1f1f"/>
          <w:sz w:val="39.84000015258789"/>
          <w:szCs w:val="39.84000015258789"/>
          <w:u w:val="none"/>
          <w:shd w:fill="auto" w:val="clear"/>
          <w:vertAlign w:val="baseline"/>
          <w:rtl w:val="0"/>
        </w:rPr>
        <w:t xml:space="preserve">Project Information</w:t>
      </w:r>
    </w:p>
    <w:tbl>
      <w:tblPr>
        <w:tblStyle w:val="Table4"/>
        <w:tblW w:w="10320.00038146972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1.2000274658203"/>
        <w:gridCol w:w="7828.800354003906"/>
        <w:tblGridChange w:id="0">
          <w:tblGrid>
            <w:gridCol w:w="2491.2000274658203"/>
            <w:gridCol w:w="7828.800354003906"/>
          </w:tblGrid>
        </w:tblGridChange>
      </w:tblGrid>
      <w:tr>
        <w:trPr>
          <w:cantSplit w:val="0"/>
          <w:trHeight w:val="75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17254638671875" w:firstLine="0"/>
              <w:jc w:val="right"/>
              <w:rPr>
                <w:rFonts w:ascii="Calibri" w:cs="Calibri" w:eastAsia="Calibri" w:hAnsi="Calibri"/>
                <w:b w:val="0"/>
                <w:i w:val="0"/>
                <w:smallCaps w:val="0"/>
                <w:strike w:val="0"/>
                <w:color w:val="1f1f1f"/>
                <w:sz w:val="24"/>
                <w:szCs w:val="24"/>
                <w:u w:val="none"/>
                <w:shd w:fill="cccccc" w:val="clear"/>
                <w:vertAlign w:val="baseline"/>
              </w:rPr>
            </w:pPr>
            <w:r w:rsidDel="00000000" w:rsidR="00000000" w:rsidRPr="00000000">
              <w:rPr>
                <w:rFonts w:ascii="Calibri" w:cs="Calibri" w:eastAsia="Calibri" w:hAnsi="Calibri"/>
                <w:b w:val="0"/>
                <w:i w:val="0"/>
                <w:smallCaps w:val="0"/>
                <w:strike w:val="0"/>
                <w:color w:val="1f1f1f"/>
                <w:sz w:val="24"/>
                <w:szCs w:val="24"/>
                <w:u w:val="none"/>
                <w:shd w:fill="cccccc" w:val="clear"/>
                <w:vertAlign w:val="baseline"/>
                <w:rtl w:val="0"/>
              </w:rPr>
              <w:t xml:space="preserve">Project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26.96197509765625" w:right="274.79248046875" w:firstLine="1.98699951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Parkinson5D: deconstructing proximal disease mechanisms across cells, space, and  progression</w:t>
            </w:r>
          </w:p>
        </w:tc>
      </w:tr>
      <w:tr>
        <w:trPr>
          <w:cantSplit w:val="0"/>
          <w:trHeight w:val="2932.799835205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13720703125" w:firstLine="0"/>
              <w:jc w:val="right"/>
              <w:rPr>
                <w:rFonts w:ascii="Calibri" w:cs="Calibri" w:eastAsia="Calibri" w:hAnsi="Calibri"/>
                <w:b w:val="0"/>
                <w:i w:val="0"/>
                <w:smallCaps w:val="0"/>
                <w:strike w:val="0"/>
                <w:color w:val="1f1f1f"/>
                <w:sz w:val="24"/>
                <w:szCs w:val="24"/>
                <w:u w:val="none"/>
                <w:shd w:fill="cccccc" w:val="clear"/>
                <w:vertAlign w:val="baseline"/>
              </w:rPr>
            </w:pPr>
            <w:r w:rsidDel="00000000" w:rsidR="00000000" w:rsidRPr="00000000">
              <w:rPr>
                <w:rFonts w:ascii="Calibri" w:cs="Calibri" w:eastAsia="Calibri" w:hAnsi="Calibri"/>
                <w:b w:val="0"/>
                <w:i w:val="0"/>
                <w:smallCaps w:val="0"/>
                <w:strike w:val="0"/>
                <w:color w:val="1f1f1f"/>
                <w:sz w:val="24"/>
                <w:szCs w:val="24"/>
                <w:u w:val="none"/>
                <w:shd w:fill="cccccc" w:val="clear"/>
                <w:vertAlign w:val="baseline"/>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7342224121" w:lineRule="auto"/>
              <w:ind w:left="116.142578125" w:right="46.475830078125" w:firstLine="12.80639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Here we will develop a molecular atlas of Parkinson's disease (PD) useful for mapping  GWAS/familial genetics to proximal mechanisms in five dimensions: brain cells (1D),  brain space (3D), and disease stage (1D). We will reveal how genetic variants  modulate transcription in specific cells in specific topographic locations of midbrain  and cortex during the progression of neuropathology from healthy brains to  prodromal to symptomatic disease. This research will for the first time integrate  whole genome sequencing, single-nucleus transcriptomics, and high-resolution  spatial transcriptomics of 100 human brains with cell-specific mechanistic analyses in  model systems.</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963.2003784179688" w:top="1420.80078125" w:left="950.4000091552734" w:right="969.5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