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vjfuawc981cs"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heading=h.azf2z1szqoh9"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13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490"/>
        <w:gridCol w:w="5760"/>
        <w:gridCol w:w="2490"/>
        <w:tblGridChange w:id="0">
          <w:tblGrid>
            <w:gridCol w:w="2490"/>
            <w:gridCol w:w="2490"/>
            <w:gridCol w:w="5760"/>
            <w:gridCol w:w="249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Pančíková</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Alexandra</w:t>
            </w:r>
          </w:p>
        </w:tc>
        <w:tc>
          <w:tcPr>
            <w:tcMar>
              <w:top w:w="100.0" w:type="dxa"/>
              <w:left w:w="100.0" w:type="dxa"/>
              <w:bottom w:w="100.0" w:type="dxa"/>
              <w:right w:w="100.0" w:type="dxa"/>
            </w:tcMar>
          </w:tcPr>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Integrative Cancer Genomics, VIB-KU Leuven Center for Cancer Biology, Leuven, Belgium</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Oncology, KU Leuven, Leuven, Belgium</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0000-0002-0693-132X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Theunis</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Koen</w:t>
            </w:r>
          </w:p>
        </w:tc>
        <w:tc>
          <w:tcPr>
            <w:tcMar>
              <w:top w:w="100.0" w:type="dxa"/>
              <w:left w:w="100.0" w:type="dxa"/>
              <w:bottom w:w="100.0" w:type="dxa"/>
              <w:right w:w="100.0" w:type="dxa"/>
            </w:tcMar>
          </w:tcPr>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0000-0002-0699-6676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Hulselmans</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Gert</w:t>
            </w:r>
          </w:p>
        </w:tc>
        <w:tc>
          <w:tcPr>
            <w:tcMar>
              <w:top w:w="100.0" w:type="dxa"/>
              <w:left w:w="100.0" w:type="dxa"/>
              <w:bottom w:w="100.0" w:type="dxa"/>
              <w:right w:w="100.0" w:type="dxa"/>
            </w:tcMar>
          </w:tcPr>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0000-0003-2205-1899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Sigalova</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Olga</w:t>
            </w:r>
          </w:p>
        </w:tc>
        <w:tc>
          <w:tcPr>
            <w:tcMar>
              <w:top w:w="100.0" w:type="dxa"/>
              <w:left w:w="100.0" w:type="dxa"/>
              <w:bottom w:w="100.0" w:type="dxa"/>
              <w:right w:w="100.0" w:type="dxa"/>
            </w:tcMar>
          </w:tcPr>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0000-0001-8598-1079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De Man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Julie</w:t>
            </w:r>
          </w:p>
        </w:tc>
        <w:tc>
          <w:tcPr>
            <w:tcMar>
              <w:top w:w="100.0" w:type="dxa"/>
              <w:left w:w="100.0" w:type="dxa"/>
              <w:bottom w:w="100.0" w:type="dxa"/>
              <w:right w:w="100.0" w:type="dxa"/>
            </w:tcMar>
          </w:tcPr>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0009-0003-7208-8961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Voet</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Thierry</w:t>
            </w:r>
          </w:p>
        </w:tc>
        <w:tc>
          <w:tcPr>
            <w:tcMar>
              <w:top w:w="100.0" w:type="dxa"/>
              <w:left w:w="100.0" w:type="dxa"/>
              <w:bottom w:w="100.0" w:type="dxa"/>
              <w:right w:w="100.0" w:type="dxa"/>
            </w:tcMar>
          </w:tcPr>
          <w:p w:rsidR="00000000" w:rsidDel="00000000" w:rsidP="00000000" w:rsidRDefault="00000000" w:rsidRPr="00000000" w14:paraId="0000002B">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pPr>
            <w:r w:rsidDel="00000000" w:rsidR="00000000" w:rsidRPr="00000000">
              <w:rPr>
                <w:rFonts w:ascii="Arial" w:cs="Arial" w:eastAsia="Arial" w:hAnsi="Arial"/>
                <w:color w:val="000000"/>
                <w:sz w:val="22"/>
                <w:szCs w:val="22"/>
                <w:rtl w:val="0"/>
              </w:rPr>
              <w:t xml:space="preserve">Department of Human Genetics, KU Leuven, Leuven, Belgium</w:t>
            </w:r>
            <w:r w:rsidDel="00000000" w:rsidR="00000000" w:rsidRPr="00000000">
              <w:rPr>
                <w:rtl w:val="0"/>
              </w:rPr>
            </w:r>
          </w:p>
          <w:p w:rsidR="00000000" w:rsidDel="00000000" w:rsidP="00000000" w:rsidRDefault="00000000" w:rsidRPr="00000000" w14:paraId="0000002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 Leuven Institute for Single Cell Omics (LISCO), University of Leuven, KU Leuven, Leuven, Belgium</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0000-0003-1204-9963</w:t>
            </w:r>
          </w:p>
          <w:p w:rsidR="00000000" w:rsidDel="00000000" w:rsidP="00000000" w:rsidRDefault="00000000" w:rsidRPr="00000000" w14:paraId="0000002E">
            <w:pPr>
              <w:widowControl w:val="0"/>
              <w:spacing w:line="240" w:lineRule="auto"/>
              <w:ind w:left="2880" w:firstLine="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Aerts</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Stein</w:t>
            </w:r>
          </w:p>
        </w:tc>
        <w:tc>
          <w:tcPr>
            <w:tcMar>
              <w:top w:w="100.0" w:type="dxa"/>
              <w:left w:w="100.0" w:type="dxa"/>
              <w:bottom w:w="100.0" w:type="dxa"/>
              <w:right w:w="100.0" w:type="dxa"/>
            </w:tcMar>
          </w:tcPr>
          <w:p w:rsidR="00000000" w:rsidDel="00000000" w:rsidP="00000000" w:rsidRDefault="00000000" w:rsidRPr="00000000" w14:paraId="0000003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32">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3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0000-0002-8006-0315</w:t>
            </w:r>
          </w:p>
        </w:tc>
      </w:tr>
    </w:tbl>
    <w:p w:rsidR="00000000" w:rsidDel="00000000" w:rsidP="00000000" w:rsidRDefault="00000000" w:rsidRPr="00000000" w14:paraId="00000035">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Last Name</w:t>
      </w: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rPr>
      </w:pPr>
      <w:r w:rsidDel="00000000" w:rsidR="00000000" w:rsidRPr="00000000">
        <w:rPr>
          <w:b w:val="1"/>
          <w:bCs w:val="1"/>
          <w:rtl w:val="0"/>
        </w:rPr>
        <w:t xml:space="preserve">First Name</w:t>
      </w:r>
    </w:p>
    <w:p w:rsidR="00000000" w:rsidDel="00000000" w:rsidP="00000000" w:rsidRDefault="00000000" w:rsidRPr="00000000" w14:paraId="00000037">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Affiliation</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ORCID </w:t>
      </w:r>
      <w:r w:rsidDel="00000000" w:rsidR="00000000" w:rsidRPr="00000000">
        <w:rPr>
          <w:rtl w:val="0"/>
        </w:rPr>
      </w:r>
    </w:p>
    <w:p w:rsidR="00000000" w:rsidDel="00000000" w:rsidP="00000000" w:rsidRDefault="00000000" w:rsidRPr="00000000" w14:paraId="00000039">
      <w:pPr>
        <w:pStyle w:val="Heading1"/>
        <w:rPr/>
      </w:pPr>
      <w:bookmarkStart w:colFirst="0" w:colLast="0" w:name="_heading=h.llo51tho7mhf" w:id="2"/>
      <w:bookmarkEnd w:id="2"/>
      <w:r w:rsidDel="00000000" w:rsidR="00000000" w:rsidRPr="00000000">
        <w:rPr>
          <w:rtl w:val="0"/>
        </w:rPr>
        <w:t xml:space="preserve">Dataset Details</w:t>
      </w:r>
    </w:p>
    <w:p w:rsidR="00000000" w:rsidDel="00000000" w:rsidP="00000000" w:rsidRDefault="00000000" w:rsidRPr="00000000" w14:paraId="0000003A">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right"/>
              <w:rPr>
                <w:shd w:fill="cccccc" w:val="clear"/>
              </w:rPr>
            </w:pPr>
            <w:r w:rsidDel="00000000" w:rsidR="00000000" w:rsidRPr="00000000">
              <w:rPr>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Single nuclei RNA sequencing of postmortem cingulate cortex, midbrain and motor cortex of healthy donors and Parkinson’s disease patients – 10x multiome (snRNA-seq and snATAC-seq).</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This dataset consists of raw sequencing snRNA-seq data and snATAC-seq data (10x Genomics Chromium Next GEM Multiome ATAC/GEX). The data is part of an overall set of samples derived from postmortem midbrain (n=140), cingulate cortex (n=190) and motor cortex (n=4) of healthy donors (n=114), patients with Parkinson's disease (n=75) or patients with other neurological disorder (n=1). The protocol followed to isolate nuclei from postmortem brain samples and to prepare sequencing libraries can be found below.</w:t>
            </w:r>
          </w:p>
          <w:p w:rsidR="00000000" w:rsidDel="00000000" w:rsidP="00000000" w:rsidRDefault="00000000" w:rsidRPr="00000000" w14:paraId="0000003F">
            <w:pPr>
              <w:widowControl w:val="0"/>
              <w:spacing w:line="240" w:lineRule="auto"/>
              <w:rPr/>
            </w:pPr>
            <w:r w:rsidDel="00000000" w:rsidR="00000000" w:rsidRPr="00000000">
              <w:rPr>
                <w:rtl w:val="0"/>
              </w:rPr>
              <w:t xml:space="preserve">To increase throughput and to decrease batch effects, several donors have been pooled together into a single sequencing library. To computationally demultiplex the nuclei to their corresponding donors, cellsnp-lite (version commit: aad18644adcde853c313362a856a24245c9b91f7) followed by vireo (</w:t>
            </w:r>
            <w:hyperlink r:id="rId8">
              <w:r w:rsidDel="00000000" w:rsidR="00000000" w:rsidRPr="00000000">
                <w:rPr>
                  <w:color w:val="1264a3"/>
                  <w:rtl w:val="0"/>
                </w:rPr>
                <w:t xml:space="preserve">https://github.com/single-cell-genetics/vireo/pull/108</w:t>
              </w:r>
            </w:hyperlink>
            <w:r w:rsidDel="00000000" w:rsidR="00000000" w:rsidRPr="00000000">
              <w:rPr>
                <w:rtl w:val="0"/>
              </w:rPr>
              <w:t xml:space="preserve"> ) has been used. The population VCF with the donor genotypes derived from whole genome sequencing data has been used to assign nuclei back to their donors. (edited) </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sz w:val="20"/>
          <w:szCs w:val="20"/>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kkvq11ax24wd" w:id="3"/>
      <w:bookmarkEnd w:id="3"/>
      <w:r w:rsidDel="00000000" w:rsidR="00000000" w:rsidRPr="00000000">
        <w:rPr>
          <w:rtl w:val="0"/>
        </w:rPr>
        <w:t xml:space="preserve">Project Information</w:t>
      </w:r>
    </w:p>
    <w:p w:rsidR="00000000" w:rsidDel="00000000" w:rsidP="00000000" w:rsidRDefault="00000000" w:rsidRPr="00000000" w14:paraId="00000047">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48">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Understanding inherited and acquired genetic variation in Parkinson’s disease through single-cell multi-omics analyses: a unique data resource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The functional roles of inherited and acquired genetic variation in the pathogenesis of Parkinson's disease (PD) remain largely unknown. Here, we will first study how germline genetic variants at PD-risk loci, which were identified by genome-wide association study (GWAS), perturb the expression of genes in specific cell (sub)populations of the brain and gut. To this aim, we will apply single-cell gene-expression and open-chromatin quantitative trait locus (QTL) analyses, enabling identification of PD-relevant genes and cell (sub)types. We will deliver the mechanisms of PD-candidate gene expression (dys)regulation in the normal condition, with ageing and in PD, as well as a unique single-cell multi-omic resource for the community. Second, we will study the </w:t>
            </w:r>
          </w:p>
          <w:p w:rsidR="00000000" w:rsidDel="00000000" w:rsidP="00000000" w:rsidRDefault="00000000" w:rsidRPr="00000000" w14:paraId="0000004D">
            <w:pPr>
              <w:widowControl w:val="0"/>
              <w:spacing w:line="240" w:lineRule="auto"/>
              <w:rPr/>
            </w:pPr>
            <w:r w:rsidDel="00000000" w:rsidR="00000000" w:rsidRPr="00000000">
              <w:rPr>
                <w:rtl w:val="0"/>
              </w:rPr>
              <w:t xml:space="preserve">nature and role of somatic mutations in brain and gut cells in PD- etiopathology. Finally, we will characterize biochemical and phenotypic effects of loss- or gain-of-function QTLs and somatic mutations of candidate genes in in vitro and in vivo model systems, including their impact on the neuro-immune axis.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nrie@datatecnica.com" TargetMode="External"/><Relationship Id="rId8" Type="http://schemas.openxmlformats.org/officeDocument/2006/relationships/hyperlink" Target="https://github.com/single-cell-genetics/vireo/pull/1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oOXJT38OUt10ZfoS4YslJznA==">CgMxLjAyDmgudmpmdWF3Yzk4MWNzMg5oLmF6ZjJ6MXN6cW9oOTIOaC5sbG81MXRobzdtaGYyDmgua2t2cTExYXgyNHdkOAByITFCNlA3MWdVOE9uT3p0WHlqZjRCSUljQnJOaWY0eE01MQ==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2026-03-10T15:16:00.0000000Z</dcterms:created>
</cp:coreProperties>
</file>