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400" w:after="200"/>
        <w:jc w:val="center"/>
      </w:pPr>
      <w:r>
        <w:rPr>
          <w:rFonts w:ascii="Arial" w:cs="Arial" w:eastAsia="Arial" w:hAnsi="Arial"/>
          <w:b/>
          <w:bCs/>
          <w:color w:val="B8860B"/>
          <w:sz w:val="72"/>
          <w:szCs w:val="72"/>
        </w:rPr>
        <w:t xml:space="preserve">MONTE CARLO</w:t>
      </w:r>
    </w:p>
    <w:p>
      <w:pPr>
        <w:spacing w:before="0" w:after="200"/>
        <w:jc w:val="center"/>
      </w:pPr>
      <w:r>
        <w:rPr>
          <w:rFonts w:ascii="Arial" w:cs="Arial" w:eastAsia="Arial" w:hAnsi="Arial"/>
          <w:b/>
          <w:bCs/>
          <w:color w:val="1A1A2E"/>
          <w:sz w:val="52"/>
          <w:szCs w:val="52"/>
        </w:rPr>
        <w:t xml:space="preserve">GOLD PRICE PREDICTOR</w:t>
      </w:r>
    </w:p>
    <w:p>
      <w:pPr>
        <w:pBdr>
          <w:bottom w:val="single" w:color="B8860B" w:sz="8" w:space="8"/>
        </w:pBdr>
        <w:spacing w:before="0" w:after="400"/>
        <w:jc w:val="center"/>
      </w:pPr>
      <w:r>
        <w:rPr>
          <w:sz w:val="24"/>
          <w:szCs w:val="24"/>
        </w:rPr>
        <w:t xml:space="preserve"> </w:t>
      </w:r>
    </w:p>
    <w:p>
      <w:pPr>
        <w:spacing w:before="200" w:after="120"/>
        <w:jc w:val="center"/>
      </w:pPr>
      <w:r>
        <w:rPr>
          <w:rFonts w:ascii="Arial" w:cs="Arial" w:eastAsia="Arial" w:hAnsi="Arial"/>
          <w:i/>
          <w:iCs/>
          <w:color w:val="1B4F8A"/>
          <w:sz w:val="28"/>
          <w:szCs w:val="28"/>
        </w:rPr>
        <w:t xml:space="preserve">Full Development Plan &amp; Technical Documentation</w:t>
      </w:r>
    </w:p>
    <w:p>
      <w:pPr>
        <w:spacing w:before="80" w:after="80"/>
        <w:jc w:val="center"/>
      </w:pPr>
      <w:r>
        <w:rPr>
          <w:rFonts w:ascii="Arial" w:cs="Arial" w:eastAsia="Arial" w:hAnsi="Arial"/>
          <w:color w:val="888888"/>
          <w:sz w:val="22"/>
          <w:szCs w:val="22"/>
        </w:rPr>
        <w:t xml:space="preserve">Version 1.0  |  2025</w:t>
      </w:r>
    </w:p>
    <w:p>
      <w:pPr>
        <w:spacing w:before="80" w:after="80"/>
      </w:pPr>
      <w:r>
        <w:t xml:space="preserve"/>
      </w:r>
    </w:p>
    <w:p>
      <w:pPr>
        <w:spacing w:before="80" w:after="80"/>
      </w:pPr>
      <w:r>
        <w:t xml:space="preserve"/>
      </w:r>
    </w:p>
    <w:p>
      <w:pPr>
        <w:spacing w:before="80" w:after="80"/>
      </w:pPr>
      <w:r>
        <w:t xml:space="preserve"/>
      </w:r>
    </w:p>
    <w:p>
      <w:pPr>
        <w:spacing w:before="80" w:after="80"/>
      </w:pPr>
      <w:r>
        <w:t xml:space="preserve"/>
      </w:r>
    </w:p>
    <w:p>
      <w:pPr>
        <w:jc w:val="center"/>
      </w:pPr>
      <w:r>
        <w:rPr>
          <w:rFonts w:ascii="Arial" w:cs="Arial" w:eastAsia="Arial" w:hAnsi="Arial"/>
          <w:i/>
          <w:iCs/>
          <w:color w:val="888888"/>
          <w:sz w:val="22"/>
          <w:szCs w:val="22"/>
        </w:rPr>
        <w:t xml:space="preserve">Built on Monte Carlo Simulation Methods</w:t>
      </w:r>
    </w:p>
    <w:p>
      <w:r>
        <w:br w:type="page"/>
      </w:r>
    </w:p>
    <w:p>
      <w:pPr>
        <w:pStyle w:val="Heading1"/>
        <w:spacing w:before="360" w:after="200"/>
      </w:pPr>
      <w:r>
        <w:rPr>
          <w:rFonts w:ascii="Arial" w:cs="Arial" w:eastAsia="Arial" w:hAnsi="Arial"/>
          <w:b/>
          <w:bCs/>
          <w:color w:val="1A1A2E"/>
          <w:sz w:val="36"/>
          <w:szCs w:val="36"/>
        </w:rPr>
        <w:t xml:space="preserve">1. Executive Summary</w:t>
      </w:r>
    </w:p>
    <w:p>
      <w:pPr>
        <w:spacing w:before="80" w:after="120"/>
      </w:pPr>
      <w:r>
        <w:rPr>
          <w:rFonts w:ascii="Arial" w:cs="Arial" w:eastAsia="Arial" w:hAnsi="Arial"/>
          <w:sz w:val="22"/>
          <w:szCs w:val="22"/>
        </w:rPr>
        <w:t xml:space="preserve">This document provides a complete development plan and technical specification for building a professional-grade Monte Carlo simulation engine to predict gold prices. The system combines advanced stochastic models with real market data, risk analytics, and an interactive web dashboard.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r>
              <w:rPr>
                <w:rFonts w:ascii="Arial" w:cs="Arial" w:eastAsia="Arial" w:hAnsi="Arial"/>
                <w:b/>
                <w:bCs/>
                <w:color w:val="FFFFFF"/>
                <w:sz w:val="22"/>
                <w:szCs w:val="22"/>
              </w:rPr>
              <w:t xml:space="preserve">Project Goals</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  Predict gold price movements using 5 different stochastic models</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  Quantify risk with VaR, CVaR, and confidence interval analysis</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  Validate all models against real historical gold price data</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  Provide an interactive Streamlit dashboard for visualization</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  Deliver production-ready, optimized Python codebase</w:t>
            </w:r>
          </w:p>
        </w:tc>
      </w:tr>
    </w:tbl>
    <w:p>
      <w:pPr>
        <w:spacing w:before="80" w:after="80"/>
      </w:pPr>
      <w:r>
        <w:t xml:space="preserve"/>
      </w:r>
    </w:p>
    <w:p>
      <w:pPr>
        <w:pStyle w:val="Heading1"/>
        <w:spacing w:before="360" w:after="200"/>
      </w:pPr>
      <w:r>
        <w:rPr>
          <w:rFonts w:ascii="Arial" w:cs="Arial" w:eastAsia="Arial" w:hAnsi="Arial"/>
          <w:b/>
          <w:bCs/>
          <w:color w:val="1A1A2E"/>
          <w:sz w:val="36"/>
          <w:szCs w:val="36"/>
        </w:rPr>
        <w:t xml:space="preserve">2. Introduction to Monte Carlo for Gold</w:t>
      </w:r>
    </w:p>
    <w:p>
      <w:pPr>
        <w:pStyle w:val="Heading2"/>
        <w:pBdr>
          <w:bottom w:val="single" w:color="B8860B" w:sz="4" w:space="4"/>
        </w:pBdr>
        <w:spacing w:before="280" w:after="160"/>
      </w:pPr>
      <w:r>
        <w:rPr>
          <w:rFonts w:ascii="Arial" w:cs="Arial" w:eastAsia="Arial" w:hAnsi="Arial"/>
          <w:b/>
          <w:bCs/>
          <w:color w:val="1B4F8A"/>
          <w:sz w:val="28"/>
          <w:szCs w:val="28"/>
        </w:rPr>
        <w:t xml:space="preserve">2.1 What is Monte Carlo Simulation?</w:t>
      </w:r>
    </w:p>
    <w:p>
      <w:pPr>
        <w:spacing w:before="80" w:after="120"/>
      </w:pPr>
      <w:r>
        <w:rPr>
          <w:rFonts w:ascii="Arial" w:cs="Arial" w:eastAsia="Arial" w:hAnsi="Arial"/>
          <w:sz w:val="22"/>
          <w:szCs w:val="22"/>
        </w:rPr>
        <w:t xml:space="preserve">Monte Carlo simulation is a computational technique that uses random sampling and statistical modeling to estimate the probability of different outcomes in processes that are difficult to predict due to random variables. In finance, it is widely used to model the behavior of asset prices over time.</w:t>
      </w:r>
    </w:p>
    <w:p>
      <w:pPr>
        <w:spacing w:before="80" w:after="120"/>
      </w:pPr>
      <w:r>
        <w:rPr>
          <w:rFonts w:ascii="Arial" w:cs="Arial" w:eastAsia="Arial" w:hAnsi="Arial"/>
          <w:sz w:val="22"/>
          <w:szCs w:val="22"/>
        </w:rPr>
        <w:t xml:space="preserve">The core idea is simple: instead of calculating one exact outcome, we simulate thousands of possible futures and analyze the distribution of results. The more simulations we run, the more accurate our probability estimates become.</w:t>
      </w:r>
    </w:p>
    <w:p>
      <w:pPr>
        <w:spacing w:before="80" w:after="80"/>
      </w:pPr>
      <w:r>
        <w:t xml:space="preserve"/>
      </w:r>
    </w:p>
    <w:p>
      <w:pPr>
        <w:pStyle w:val="Heading2"/>
        <w:pBdr>
          <w:bottom w:val="single" w:color="B8860B" w:sz="4" w:space="4"/>
        </w:pBdr>
        <w:spacing w:before="280" w:after="160"/>
      </w:pPr>
      <w:r>
        <w:rPr>
          <w:rFonts w:ascii="Arial" w:cs="Arial" w:eastAsia="Arial" w:hAnsi="Arial"/>
          <w:b/>
          <w:bCs/>
          <w:color w:val="1B4F8A"/>
          <w:sz w:val="28"/>
          <w:szCs w:val="28"/>
        </w:rPr>
        <w:t xml:space="preserve">2.2 Why Gold is Special</w:t>
      </w:r>
    </w:p>
    <w:p>
      <w:pPr>
        <w:spacing w:before="80" w:after="120"/>
      </w:pPr>
      <w:r>
        <w:rPr>
          <w:rFonts w:ascii="Arial" w:cs="Arial" w:eastAsia="Arial" w:hAnsi="Arial"/>
          <w:sz w:val="22"/>
          <w:szCs w:val="22"/>
        </w:rPr>
        <w:t xml:space="preserve">Gold behaves fundamentally differently from stocks. Understanding these differences is critical to building an accurate prediction model: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Factor</w:t>
            </w:r>
          </w:p>
        </w:tc>
        <w:tc>
          <w:tcPr>
            <w:tcW w:type="dxa" w:w="318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Stocks</w:t>
            </w:r>
          </w:p>
        </w:tc>
        <w:tc>
          <w:tcPr>
            <w:tcW w:type="dxa" w:w="318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Gold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Primary Driver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Company earnings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Macro / geopolitics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Mean Reversion</w:t>
            </w:r>
          </w:p>
        </w:tc>
        <w:tc>
          <w:tcPr>
            <w:tcW w:type="dxa" w:w="318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Weak</w:t>
            </w:r>
          </w:p>
        </w:tc>
        <w:tc>
          <w:tcPr>
            <w:tcW w:type="dxa" w:w="318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Strong (long-term)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Volatility</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Varies by company</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Driven by fear/crisis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Dividends</w:t>
            </w:r>
          </w:p>
        </w:tc>
        <w:tc>
          <w:tcPr>
            <w:tcW w:type="dxa" w:w="318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Yes</w:t>
            </w:r>
          </w:p>
        </w:tc>
        <w:tc>
          <w:tcPr>
            <w:tcW w:type="dxa" w:w="318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None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Currency Link</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Weak</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Very strong (USD inverse)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Inflation Hedge</w:t>
            </w:r>
          </w:p>
        </w:tc>
        <w:tc>
          <w:tcPr>
            <w:tcW w:type="dxa" w:w="318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Partial</w:t>
            </w:r>
          </w:p>
        </w:tc>
        <w:tc>
          <w:tcPr>
            <w:tcW w:type="dxa" w:w="318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Strong</w:t>
            </w:r>
          </w:p>
        </w:tc>
      </w:tr>
    </w:tbl>
    <w:p>
      <w:pPr>
        <w:spacing w:before="80" w:after="80"/>
      </w:pPr>
      <w:r>
        <w:t xml:space="preserve"/>
      </w:r>
    </w:p>
    <w:p>
      <w:pPr>
        <w:pStyle w:val="Heading2"/>
        <w:pBdr>
          <w:bottom w:val="single" w:color="B8860B" w:sz="4" w:space="4"/>
        </w:pBdr>
        <w:spacing w:before="280" w:after="160"/>
      </w:pPr>
      <w:r>
        <w:rPr>
          <w:rFonts w:ascii="Arial" w:cs="Arial" w:eastAsia="Arial" w:hAnsi="Arial"/>
          <w:b/>
          <w:bCs/>
          <w:color w:val="1B4F8A"/>
          <w:sz w:val="28"/>
          <w:szCs w:val="28"/>
        </w:rPr>
        <w:t xml:space="preserve">2.3 Key Gold Price Drivers</w:t>
      </w:r>
    </w:p>
    <w:p>
      <w:pPr>
        <w:pStyle w:val="ListParagraph"/>
        <w:numPr>
          <w:ilvl w:val="0"/>
          <w:numId w:val="2"/>
        </w:numPr>
        <w:spacing w:before="60" w:after="60"/>
      </w:pPr>
      <w:r>
        <w:rPr>
          <w:rFonts w:ascii="Arial" w:cs="Arial" w:eastAsia="Arial" w:hAnsi="Arial"/>
          <w:sz w:val="22"/>
          <w:szCs w:val="22"/>
        </w:rPr>
        <w:t xml:space="preserve">USD Strength (DXY Index) — Gold moves inversely to the US dollar</w:t>
      </w:r>
    </w:p>
    <w:p>
      <w:pPr>
        <w:pStyle w:val="ListParagraph"/>
        <w:numPr>
          <w:ilvl w:val="0"/>
          <w:numId w:val="2"/>
        </w:numPr>
        <w:spacing w:before="60" w:after="60"/>
      </w:pPr>
      <w:r>
        <w:rPr>
          <w:rFonts w:ascii="Arial" w:cs="Arial" w:eastAsia="Arial" w:hAnsi="Arial"/>
          <w:sz w:val="22"/>
          <w:szCs w:val="22"/>
        </w:rPr>
        <w:t xml:space="preserve">Real Interest Rates — Higher rates reduce gold appeal (no yield)</w:t>
      </w:r>
    </w:p>
    <w:p>
      <w:pPr>
        <w:pStyle w:val="ListParagraph"/>
        <w:numPr>
          <w:ilvl w:val="0"/>
          <w:numId w:val="2"/>
        </w:numPr>
        <w:spacing w:before="60" w:after="60"/>
      </w:pPr>
      <w:r>
        <w:rPr>
          <w:rFonts w:ascii="Arial" w:cs="Arial" w:eastAsia="Arial" w:hAnsi="Arial"/>
          <w:sz w:val="22"/>
          <w:szCs w:val="22"/>
        </w:rPr>
        <w:t xml:space="preserve">Inflation (CPI) — High inflation boosts gold as a safe haven</w:t>
      </w:r>
    </w:p>
    <w:p>
      <w:pPr>
        <w:pStyle w:val="ListParagraph"/>
        <w:numPr>
          <w:ilvl w:val="0"/>
          <w:numId w:val="2"/>
        </w:numPr>
        <w:spacing w:before="60" w:after="60"/>
      </w:pPr>
      <w:r>
        <w:rPr>
          <w:rFonts w:ascii="Arial" w:cs="Arial" w:eastAsia="Arial" w:hAnsi="Arial"/>
          <w:sz w:val="22"/>
          <w:szCs w:val="22"/>
        </w:rPr>
        <w:t xml:space="preserve">Geopolitical Events — Wars, crises cause sudden gold spikes</w:t>
      </w:r>
    </w:p>
    <w:p>
      <w:pPr>
        <w:pStyle w:val="ListParagraph"/>
        <w:numPr>
          <w:ilvl w:val="0"/>
          <w:numId w:val="2"/>
        </w:numPr>
        <w:spacing w:before="60" w:after="60"/>
      </w:pPr>
      <w:r>
        <w:rPr>
          <w:rFonts w:ascii="Arial" w:cs="Arial" w:eastAsia="Arial" w:hAnsi="Arial"/>
          <w:sz w:val="22"/>
          <w:szCs w:val="22"/>
        </w:rPr>
        <w:t xml:space="preserve">Central Bank Buying — Large institutional demand from central banks</w:t>
      </w:r>
    </w:p>
    <w:p>
      <w:pPr>
        <w:pStyle w:val="ListParagraph"/>
        <w:numPr>
          <w:ilvl w:val="0"/>
          <w:numId w:val="2"/>
        </w:numPr>
        <w:spacing w:before="60" w:after="60"/>
      </w:pPr>
      <w:r>
        <w:rPr>
          <w:rFonts w:ascii="Arial" w:cs="Arial" w:eastAsia="Arial" w:hAnsi="Arial"/>
          <w:sz w:val="22"/>
          <w:szCs w:val="22"/>
        </w:rPr>
        <w:t xml:space="preserve">Market Fear (VIX) — High volatility index correlates with gold rises</w:t>
      </w:r>
    </w:p>
    <w:p>
      <w:pPr>
        <w:pStyle w:val="ListParagraph"/>
        <w:numPr>
          <w:ilvl w:val="0"/>
          <w:numId w:val="2"/>
        </w:numPr>
        <w:spacing w:before="60" w:after="60"/>
      </w:pPr>
      <w:r>
        <w:rPr>
          <w:rFonts w:ascii="Arial" w:cs="Arial" w:eastAsia="Arial" w:hAnsi="Arial"/>
          <w:sz w:val="22"/>
          <w:szCs w:val="22"/>
        </w:rPr>
        <w:t xml:space="preserve">Mining Supply — Global gold production affects long-term supply</w:t>
      </w:r>
    </w:p>
    <w:p>
      <w:pPr>
        <w:spacing w:before="80" w:after="80"/>
      </w:pPr>
      <w:r>
        <w:t xml:space="preserve"/>
      </w:r>
    </w:p>
    <w:p>
      <w:pPr>
        <w:pStyle w:val="Heading1"/>
        <w:spacing w:before="360" w:after="200"/>
      </w:pPr>
      <w:r>
        <w:rPr>
          <w:rFonts w:ascii="Arial" w:cs="Arial" w:eastAsia="Arial" w:hAnsi="Arial"/>
          <w:b/>
          <w:bCs/>
          <w:color w:val="1A1A2E"/>
          <w:sz w:val="36"/>
          <w:szCs w:val="36"/>
        </w:rPr>
        <w:t xml:space="preserve">3. System Architecture</w:t>
      </w:r>
    </w:p>
    <w:p>
      <w:pPr>
        <w:pStyle w:val="Heading2"/>
        <w:pBdr>
          <w:bottom w:val="single" w:color="B8860B" w:sz="4" w:space="4"/>
        </w:pBdr>
        <w:spacing w:before="280" w:after="160"/>
      </w:pPr>
      <w:r>
        <w:rPr>
          <w:rFonts w:ascii="Arial" w:cs="Arial" w:eastAsia="Arial" w:hAnsi="Arial"/>
          <w:b/>
          <w:bCs/>
          <w:color w:val="1B4F8A"/>
          <w:sz w:val="28"/>
          <w:szCs w:val="28"/>
        </w:rPr>
        <w:t xml:space="preserve">3.1 Project Structure</w:t>
      </w:r>
    </w:p>
    <w:p>
      <w:pPr>
        <w:spacing w:before="80" w:after="120"/>
      </w:pPr>
      <w:r>
        <w:rPr>
          <w:rFonts w:ascii="Arial" w:cs="Arial" w:eastAsia="Arial" w:hAnsi="Arial"/>
          <w:sz w:val="22"/>
          <w:szCs w:val="22"/>
        </w:rPr>
        <w:t xml:space="preserve">The project follows a clean modular architecture separating data, models, simulation, risk, and presentation layers:</w:t>
      </w:r>
    </w:p>
    <w:p>
      <w:pPr>
        <w:spacing w:before="80" w:after="80"/>
      </w:pPr>
      <w:r>
        <w:t xml:space="preserve"/>
      </w:r>
    </w:p>
    <w:p>
      <w:pPr>
        <w:spacing w:before="80" w:after="80"/>
        <w:ind w:left="720"/>
      </w:pPr>
      <w:r>
        <w:rPr>
          <w:rFonts w:ascii="Courier New" w:cs="Courier New" w:eastAsia="Courier New" w:hAnsi="Courier New"/>
          <w:color w:val="333333"/>
          <w:sz w:val="18"/>
          <w:szCs w:val="18"/>
        </w:rPr>
        <w:t xml:space="preserve">monte-carlo-gold/</w:t>
      </w:r>
    </w:p>
    <w:p>
      <w:pPr>
        <w:spacing w:before="80" w:after="80"/>
        <w:ind w:left="720"/>
      </w:pPr>
      <w:r>
        <w:rPr>
          <w:rFonts w:ascii="Courier New" w:cs="Courier New" w:eastAsia="Courier New" w:hAnsi="Courier New"/>
          <w:color w:val="333333"/>
          <w:sz w:val="18"/>
          <w:szCs w:val="18"/>
        </w:rPr>
        <w:t xml:space="preserve">  src/</w:t>
      </w:r>
    </w:p>
    <w:p>
      <w:pPr>
        <w:spacing w:before="80" w:after="80"/>
        <w:ind w:left="720"/>
      </w:pPr>
      <w:r>
        <w:rPr>
          <w:rFonts w:ascii="Courier New" w:cs="Courier New" w:eastAsia="Courier New" w:hAnsi="Courier New"/>
          <w:color w:val="333333"/>
          <w:sz w:val="18"/>
          <w:szCs w:val="18"/>
        </w:rPr>
        <w:t xml:space="preserve">    data/</w:t>
      </w:r>
    </w:p>
    <w:p>
      <w:pPr>
        <w:spacing w:before="80" w:after="80"/>
        <w:ind w:left="720"/>
      </w:pPr>
      <w:r>
        <w:rPr>
          <w:rFonts w:ascii="Courier New" w:cs="Courier New" w:eastAsia="Courier New" w:hAnsi="Courier New"/>
          <w:color w:val="333333"/>
          <w:sz w:val="18"/>
          <w:szCs w:val="18"/>
        </w:rPr>
        <w:t xml:space="preserve">      fetcher.py          &lt;- fetch gold + macro data</w:t>
      </w:r>
    </w:p>
    <w:p>
      <w:pPr>
        <w:spacing w:before="80" w:after="80"/>
        <w:ind w:left="720"/>
      </w:pPr>
      <w:r>
        <w:rPr>
          <w:rFonts w:ascii="Courier New" w:cs="Courier New" w:eastAsia="Courier New" w:hAnsi="Courier New"/>
          <w:color w:val="333333"/>
          <w:sz w:val="18"/>
          <w:szCs w:val="18"/>
        </w:rPr>
        <w:t xml:space="preserve">      cleaner.py          &lt;- handle missing values, outliers</w:t>
      </w:r>
    </w:p>
    <w:p>
      <w:pPr>
        <w:spacing w:before="80" w:after="80"/>
        <w:ind w:left="720"/>
      </w:pPr>
      <w:r>
        <w:rPr>
          <w:rFonts w:ascii="Courier New" w:cs="Courier New" w:eastAsia="Courier New" w:hAnsi="Courier New"/>
          <w:color w:val="333333"/>
          <w:sz w:val="18"/>
          <w:szCs w:val="18"/>
        </w:rPr>
        <w:t xml:space="preserve">      features.py         &lt;- engineer model features</w:t>
      </w:r>
    </w:p>
    <w:p>
      <w:pPr>
        <w:spacing w:before="80" w:after="80"/>
        <w:ind w:left="720"/>
      </w:pPr>
      <w:r>
        <w:rPr>
          <w:rFonts w:ascii="Courier New" w:cs="Courier New" w:eastAsia="Courier New" w:hAnsi="Courier New"/>
          <w:color w:val="333333"/>
          <w:sz w:val="18"/>
          <w:szCs w:val="18"/>
        </w:rPr>
        <w:t xml:space="preserve">      storage.py          &lt;- local caching system</w:t>
      </w:r>
    </w:p>
    <w:p>
      <w:pPr>
        <w:spacing w:before="80" w:after="80"/>
        <w:ind w:left="720"/>
      </w:pPr>
      <w:r>
        <w:rPr>
          <w:rFonts w:ascii="Courier New" w:cs="Courier New" w:eastAsia="Courier New" w:hAnsi="Courier New"/>
          <w:color w:val="333333"/>
          <w:sz w:val="18"/>
          <w:szCs w:val="18"/>
        </w:rPr>
        <w:t xml:space="preserve">    models/</w:t>
      </w:r>
    </w:p>
    <w:p>
      <w:pPr>
        <w:spacing w:before="80" w:after="80"/>
        <w:ind w:left="720"/>
      </w:pPr>
      <w:r>
        <w:rPr>
          <w:rFonts w:ascii="Courier New" w:cs="Courier New" w:eastAsia="Courier New" w:hAnsi="Courier New"/>
          <w:color w:val="333333"/>
          <w:sz w:val="18"/>
          <w:szCs w:val="18"/>
        </w:rPr>
        <w:t xml:space="preserve">      gbm.py              &lt;- Geometric Brownian Motion</w:t>
      </w:r>
    </w:p>
    <w:p>
      <w:pPr>
        <w:spacing w:before="80" w:after="80"/>
        <w:ind w:left="720"/>
      </w:pPr>
      <w:r>
        <w:rPr>
          <w:rFonts w:ascii="Courier New" w:cs="Courier New" w:eastAsia="Courier New" w:hAnsi="Courier New"/>
          <w:color w:val="333333"/>
          <w:sz w:val="18"/>
          <w:szCs w:val="18"/>
        </w:rPr>
        <w:t xml:space="preserve">      mean_reversion.py   &lt;- Ornstein-Uhlenbeck process</w:t>
      </w:r>
    </w:p>
    <w:p>
      <w:pPr>
        <w:spacing w:before="80" w:after="80"/>
        <w:ind w:left="720"/>
      </w:pPr>
      <w:r>
        <w:rPr>
          <w:rFonts w:ascii="Courier New" w:cs="Courier New" w:eastAsia="Courier New" w:hAnsi="Courier New"/>
          <w:color w:val="333333"/>
          <w:sz w:val="18"/>
          <w:szCs w:val="18"/>
        </w:rPr>
        <w:t xml:space="preserve">      jump_diffusion.py   &lt;- Merton jump model</w:t>
      </w:r>
    </w:p>
    <w:p>
      <w:pPr>
        <w:spacing w:before="80" w:after="80"/>
        <w:ind w:left="720"/>
      </w:pPr>
      <w:r>
        <w:rPr>
          <w:rFonts w:ascii="Courier New" w:cs="Courier New" w:eastAsia="Courier New" w:hAnsi="Courier New"/>
          <w:color w:val="333333"/>
          <w:sz w:val="18"/>
          <w:szCs w:val="18"/>
        </w:rPr>
        <w:t xml:space="preserve">      heston.py           &lt;- stochastic volatility</w:t>
      </w:r>
    </w:p>
    <w:p>
      <w:pPr>
        <w:spacing w:before="80" w:after="80"/>
        <w:ind w:left="720"/>
      </w:pPr>
      <w:r>
        <w:rPr>
          <w:rFonts w:ascii="Courier New" w:cs="Courier New" w:eastAsia="Courier New" w:hAnsi="Courier New"/>
          <w:color w:val="333333"/>
          <w:sz w:val="18"/>
          <w:szCs w:val="18"/>
        </w:rPr>
        <w:t xml:space="preserve">      regime_switching.py &lt;- Markov regime model</w:t>
      </w:r>
    </w:p>
    <w:p>
      <w:pPr>
        <w:spacing w:before="80" w:after="80"/>
        <w:ind w:left="720"/>
      </w:pPr>
      <w:r>
        <w:rPr>
          <w:rFonts w:ascii="Courier New" w:cs="Courier New" w:eastAsia="Courier New" w:hAnsi="Courier New"/>
          <w:color w:val="333333"/>
          <w:sz w:val="18"/>
          <w:szCs w:val="18"/>
        </w:rPr>
        <w:t xml:space="preserve">    simulation/</w:t>
      </w:r>
    </w:p>
    <w:p>
      <w:pPr>
        <w:spacing w:before="80" w:after="80"/>
        <w:ind w:left="720"/>
      </w:pPr>
      <w:r>
        <w:rPr>
          <w:rFonts w:ascii="Courier New" w:cs="Courier New" w:eastAsia="Courier New" w:hAnsi="Courier New"/>
          <w:color w:val="333333"/>
          <w:sz w:val="18"/>
          <w:szCs w:val="18"/>
        </w:rPr>
        <w:t xml:space="preserve">      engine.py           &lt;- core simulation runner</w:t>
      </w:r>
    </w:p>
    <w:p>
      <w:pPr>
        <w:spacing w:before="80" w:after="80"/>
        <w:ind w:left="720"/>
      </w:pPr>
      <w:r>
        <w:rPr>
          <w:rFonts w:ascii="Courier New" w:cs="Courier New" w:eastAsia="Courier New" w:hAnsi="Courier New"/>
          <w:color w:val="333333"/>
          <w:sz w:val="18"/>
          <w:szCs w:val="18"/>
        </w:rPr>
        <w:t xml:space="preserve">      aggregator.py       &lt;- combine model results</w:t>
      </w:r>
    </w:p>
    <w:p>
      <w:pPr>
        <w:spacing w:before="80" w:after="80"/>
        <w:ind w:left="720"/>
      </w:pPr>
      <w:r>
        <w:rPr>
          <w:rFonts w:ascii="Courier New" w:cs="Courier New" w:eastAsia="Courier New" w:hAnsi="Courier New"/>
          <w:color w:val="333333"/>
          <w:sz w:val="18"/>
          <w:szCs w:val="18"/>
        </w:rPr>
        <w:t xml:space="preserve">    risk/</w:t>
      </w:r>
    </w:p>
    <w:p>
      <w:pPr>
        <w:spacing w:before="80" w:after="80"/>
        <w:ind w:left="720"/>
      </w:pPr>
      <w:r>
        <w:rPr>
          <w:rFonts w:ascii="Courier New" w:cs="Courier New" w:eastAsia="Courier New" w:hAnsi="Courier New"/>
          <w:color w:val="333333"/>
          <w:sz w:val="18"/>
          <w:szCs w:val="18"/>
        </w:rPr>
        <w:t xml:space="preserve">      var.py              &lt;- Value at Risk</w:t>
      </w:r>
    </w:p>
    <w:p>
      <w:pPr>
        <w:spacing w:before="80" w:after="80"/>
        <w:ind w:left="720"/>
      </w:pPr>
      <w:r>
        <w:rPr>
          <w:rFonts w:ascii="Courier New" w:cs="Courier New" w:eastAsia="Courier New" w:hAnsi="Courier New"/>
          <w:color w:val="333333"/>
          <w:sz w:val="18"/>
          <w:szCs w:val="18"/>
        </w:rPr>
        <w:t xml:space="preserve">      metrics.py          &lt;- performance statistics</w:t>
      </w:r>
    </w:p>
    <w:p>
      <w:pPr>
        <w:spacing w:before="80" w:after="80"/>
        <w:ind w:left="720"/>
      </w:pPr>
      <w:r>
        <w:rPr>
          <w:rFonts w:ascii="Courier New" w:cs="Courier New" w:eastAsia="Courier New" w:hAnsi="Courier New"/>
          <w:color w:val="333333"/>
          <w:sz w:val="18"/>
          <w:szCs w:val="18"/>
        </w:rPr>
        <w:t xml:space="preserve">    backtesting/</w:t>
      </w:r>
    </w:p>
    <w:p>
      <w:pPr>
        <w:spacing w:before="80" w:after="80"/>
        <w:ind w:left="720"/>
      </w:pPr>
      <w:r>
        <w:rPr>
          <w:rFonts w:ascii="Courier New" w:cs="Courier New" w:eastAsia="Courier New" w:hAnsi="Courier New"/>
          <w:color w:val="333333"/>
          <w:sz w:val="18"/>
          <w:szCs w:val="18"/>
        </w:rPr>
        <w:t xml:space="preserve">      backtester.py       &lt;- walk-forward testing</w:t>
      </w:r>
    </w:p>
    <w:p>
      <w:pPr>
        <w:spacing w:before="80" w:after="80"/>
        <w:ind w:left="720"/>
      </w:pPr>
      <w:r>
        <w:rPr>
          <w:rFonts w:ascii="Courier New" w:cs="Courier New" w:eastAsia="Courier New" w:hAnsi="Courier New"/>
          <w:color w:val="333333"/>
          <w:sz w:val="18"/>
          <w:szCs w:val="18"/>
        </w:rPr>
        <w:t xml:space="preserve">      comparison.py       &lt;- model comparison</w:t>
      </w:r>
    </w:p>
    <w:p>
      <w:pPr>
        <w:spacing w:before="80" w:after="80"/>
        <w:ind w:left="720"/>
      </w:pPr>
      <w:r>
        <w:rPr>
          <w:rFonts w:ascii="Courier New" w:cs="Courier New" w:eastAsia="Courier New" w:hAnsi="Courier New"/>
          <w:color w:val="333333"/>
          <w:sz w:val="18"/>
          <w:szCs w:val="18"/>
        </w:rPr>
        <w:t xml:space="preserve">  tests/                  &lt;- unit and integration tests</w:t>
      </w:r>
    </w:p>
    <w:p>
      <w:pPr>
        <w:spacing w:before="80" w:after="80"/>
        <w:ind w:left="720"/>
      </w:pPr>
      <w:r>
        <w:rPr>
          <w:rFonts w:ascii="Courier New" w:cs="Courier New" w:eastAsia="Courier New" w:hAnsi="Courier New"/>
          <w:color w:val="333333"/>
          <w:sz w:val="18"/>
          <w:szCs w:val="18"/>
        </w:rPr>
        <w:t xml:space="preserve">  app.py                  &lt;- Streamlit web interface</w:t>
      </w:r>
    </w:p>
    <w:p>
      <w:pPr>
        <w:spacing w:before="80" w:after="80"/>
        <w:ind w:left="720"/>
      </w:pPr>
      <w:r>
        <w:rPr>
          <w:rFonts w:ascii="Courier New" w:cs="Courier New" w:eastAsia="Courier New" w:hAnsi="Courier New"/>
          <w:color w:val="333333"/>
          <w:sz w:val="18"/>
          <w:szCs w:val="18"/>
        </w:rPr>
        <w:t xml:space="preserve">  cli.py                  &lt;- command-line interface</w:t>
      </w:r>
    </w:p>
    <w:p>
      <w:pPr>
        <w:spacing w:before="80" w:after="80"/>
        <w:ind w:left="720"/>
      </w:pPr>
      <w:r>
        <w:rPr>
          <w:rFonts w:ascii="Courier New" w:cs="Courier New" w:eastAsia="Courier New" w:hAnsi="Courier New"/>
          <w:color w:val="333333"/>
          <w:sz w:val="18"/>
          <w:szCs w:val="18"/>
        </w:rPr>
        <w:t xml:space="preserve">  requirements.txt</w:t>
      </w:r>
    </w:p>
    <w:p>
      <w:pPr>
        <w:spacing w:before="80" w:after="80"/>
        <w:ind w:left="720"/>
      </w:pPr>
      <w:r>
        <w:rPr>
          <w:rFonts w:ascii="Courier New" w:cs="Courier New" w:eastAsia="Courier New" w:hAnsi="Courier New"/>
          <w:color w:val="333333"/>
          <w:sz w:val="18"/>
          <w:szCs w:val="18"/>
        </w:rPr>
        <w:t xml:space="preserve">  pyproject.toml</w:t>
      </w:r>
    </w:p>
    <w:p>
      <w:pPr>
        <w:spacing w:before="80" w:after="80"/>
      </w:pPr>
      <w:r>
        <w:t xml:space="preserve"/>
      </w:r>
    </w:p>
    <w:p>
      <w:pPr>
        <w:pStyle w:val="Heading1"/>
        <w:spacing w:before="360" w:after="200"/>
      </w:pPr>
      <w:r>
        <w:rPr>
          <w:rFonts w:ascii="Arial" w:cs="Arial" w:eastAsia="Arial" w:hAnsi="Arial"/>
          <w:b/>
          <w:bCs/>
          <w:color w:val="1A1A2E"/>
          <w:sz w:val="36"/>
          <w:szCs w:val="36"/>
        </w:rPr>
        <w:t xml:space="preserve">4. Data Pipeline</w:t>
      </w:r>
    </w:p>
    <w:p>
      <w:pPr>
        <w:pStyle w:val="Heading2"/>
        <w:pBdr>
          <w:bottom w:val="single" w:color="B8860B" w:sz="4" w:space="4"/>
        </w:pBdr>
        <w:spacing w:before="280" w:after="160"/>
      </w:pPr>
      <w:r>
        <w:rPr>
          <w:rFonts w:ascii="Arial" w:cs="Arial" w:eastAsia="Arial" w:hAnsi="Arial"/>
          <w:b/>
          <w:bCs/>
          <w:color w:val="1B4F8A"/>
          <w:sz w:val="28"/>
          <w:szCs w:val="28"/>
        </w:rPr>
        <w:t xml:space="preserve">4.1 Data Sources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60"/>
        <w:gridCol w:w="3500"/>
      </w:tblGrid>
      <w:tr>
        <w:trPr>
          <w:tblHeader/>
        </w:trPr>
        <w:tc>
          <w:tcPr>
            <w:tcW w:type="dxa" w:w="25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Source</w:t>
            </w:r>
          </w:p>
        </w:tc>
        <w:tc>
          <w:tcPr>
            <w:tcW w:type="dxa" w:w="33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w:t>
            </w:r>
          </w:p>
        </w:tc>
        <w:tc>
          <w:tcPr>
            <w:tcW w:type="dxa" w:w="35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How to Access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yfinance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Gold prices (GC=F, GLD)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pip install yfinance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FRED API</w:t>
            </w:r>
          </w:p>
        </w:tc>
        <w:tc>
          <w:tcPr>
            <w:tcW w:type="dxa" w:w="3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Inflation, rates, USD index</w:t>
            </w:r>
          </w:p>
        </w:tc>
        <w:tc>
          <w:tcPr>
            <w:tcW w:type="dxa" w:w="3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fredapi Python library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World Gold Council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Supply/demand data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WGC public API</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Quandl / Nasdaq</w:t>
            </w:r>
          </w:p>
        </w:tc>
        <w:tc>
          <w:tcPr>
            <w:tcW w:type="dxa" w:w="3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Commodity futures data</w:t>
            </w:r>
          </w:p>
        </w:tc>
        <w:tc>
          <w:tcPr>
            <w:tcW w:type="dxa" w:w="3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nasdaq-data-link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CBOE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VIX fear index</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yfinance (^VIX)</w:t>
            </w:r>
          </w:p>
        </w:tc>
      </w:tr>
    </w:tbl>
    <w:p>
      <w:pPr>
        <w:spacing w:before="80" w:after="80"/>
      </w:pPr>
      <w:r>
        <w:t xml:space="preserve"/>
      </w:r>
    </w:p>
    <w:p>
      <w:pPr>
        <w:pStyle w:val="Heading2"/>
        <w:pBdr>
          <w:bottom w:val="single" w:color="B8860B" w:sz="4" w:space="4"/>
        </w:pBdr>
        <w:spacing w:before="280" w:after="160"/>
      </w:pPr>
      <w:r>
        <w:rPr>
          <w:rFonts w:ascii="Arial" w:cs="Arial" w:eastAsia="Arial" w:hAnsi="Arial"/>
          <w:b/>
          <w:bCs/>
          <w:color w:val="1B4F8A"/>
          <w:sz w:val="28"/>
          <w:szCs w:val="28"/>
        </w:rPr>
        <w:t xml:space="preserve">4.2 Feature Engineering</w:t>
      </w:r>
    </w:p>
    <w:p>
      <w:pPr>
        <w:spacing w:before="80" w:after="120"/>
      </w:pPr>
      <w:r>
        <w:rPr>
          <w:rFonts w:ascii="Arial" w:cs="Arial" w:eastAsia="Arial" w:hAnsi="Arial"/>
          <w:sz w:val="22"/>
          <w:szCs w:val="22"/>
        </w:rPr>
        <w:t xml:space="preserve">Raw price data must be transformed into meaningful features before feeding into simulation models:</w:t>
      </w:r>
    </w:p>
    <w:p>
      <w:pPr>
        <w:spacing w:before="80" w:after="80"/>
      </w:pPr>
      <w:r>
        <w:t xml:space="preserve"/>
      </w:r>
    </w:p>
    <w:p>
      <w:pPr>
        <w:spacing w:before="80" w:after="80"/>
        <w:ind w:left="720"/>
      </w:pPr>
      <w:r>
        <w:rPr>
          <w:rFonts w:ascii="Courier New" w:cs="Courier New" w:eastAsia="Courier New" w:hAnsi="Courier New"/>
          <w:color w:val="333333"/>
          <w:sz w:val="18"/>
          <w:szCs w:val="18"/>
        </w:rPr>
        <w:t xml:space="preserve"># Core features to engineer in features.py</w:t>
      </w:r>
    </w:p>
    <w:p>
      <w:pPr>
        <w:spacing w:before="80" w:after="80"/>
        <w:ind w:left="720"/>
      </w:pPr>
      <w:r>
        <w:rPr>
          <w:rFonts w:ascii="Courier New" w:cs="Courier New" w:eastAsia="Courier New" w:hAnsi="Courier New"/>
          <w:color w:val="333333"/>
          <w:sz w:val="18"/>
          <w:szCs w:val="18"/>
        </w:rPr>
        <w:t xml:space="preserve"/>
      </w:r>
    </w:p>
    <w:p>
      <w:pPr>
        <w:spacing w:before="80" w:after="80"/>
        <w:ind w:left="720"/>
      </w:pPr>
      <w:r>
        <w:rPr>
          <w:rFonts w:ascii="Courier New" w:cs="Courier New" w:eastAsia="Courier New" w:hAnsi="Courier New"/>
          <w:color w:val="333333"/>
          <w:sz w:val="18"/>
          <w:szCs w:val="18"/>
        </w:rPr>
        <w:t xml:space="preserve">daily_returns      = log(P_t / P_t-1)</w:t>
      </w:r>
    </w:p>
    <w:p>
      <w:pPr>
        <w:spacing w:before="80" w:after="80"/>
        <w:ind w:left="720"/>
      </w:pPr>
      <w:r>
        <w:rPr>
          <w:rFonts w:ascii="Courier New" w:cs="Courier New" w:eastAsia="Courier New" w:hAnsi="Courier New"/>
          <w:color w:val="333333"/>
          <w:sz w:val="18"/>
          <w:szCs w:val="18"/>
        </w:rPr>
        <w:t xml:space="preserve">rolling_vol_30d    = std(returns, window=30)</w:t>
      </w:r>
    </w:p>
    <w:p>
      <w:pPr>
        <w:spacing w:before="80" w:after="80"/>
        <w:ind w:left="720"/>
      </w:pPr>
      <w:r>
        <w:rPr>
          <w:rFonts w:ascii="Courier New" w:cs="Courier New" w:eastAsia="Courier New" w:hAnsi="Courier New"/>
          <w:color w:val="333333"/>
          <w:sz w:val="18"/>
          <w:szCs w:val="18"/>
        </w:rPr>
        <w:t xml:space="preserve">rolling_vol_90d    = std(returns, window=90)</w:t>
      </w:r>
    </w:p>
    <w:p>
      <w:pPr>
        <w:spacing w:before="80" w:after="80"/>
        <w:ind w:left="720"/>
      </w:pPr>
      <w:r>
        <w:rPr>
          <w:rFonts w:ascii="Courier New" w:cs="Courier New" w:eastAsia="Courier New" w:hAnsi="Courier New"/>
          <w:color w:val="333333"/>
          <w:sz w:val="18"/>
          <w:szCs w:val="18"/>
        </w:rPr>
        <w:t xml:space="preserve">gold_usd_ratio     = gold_price / DXY_index</w:t>
      </w:r>
    </w:p>
    <w:p>
      <w:pPr>
        <w:spacing w:before="80" w:after="80"/>
        <w:ind w:left="720"/>
      </w:pPr>
      <w:r>
        <w:rPr>
          <w:rFonts w:ascii="Courier New" w:cs="Courier New" w:eastAsia="Courier New" w:hAnsi="Courier New"/>
          <w:color w:val="333333"/>
          <w:sz w:val="18"/>
          <w:szCs w:val="18"/>
        </w:rPr>
        <w:t xml:space="preserve">real_interest_rate = nominal_rate - CPI_inflation</w:t>
      </w:r>
    </w:p>
    <w:p>
      <w:pPr>
        <w:spacing w:before="80" w:after="80"/>
        <w:ind w:left="720"/>
      </w:pPr>
      <w:r>
        <w:rPr>
          <w:rFonts w:ascii="Courier New" w:cs="Courier New" w:eastAsia="Courier New" w:hAnsi="Courier New"/>
          <w:color w:val="333333"/>
          <w:sz w:val="18"/>
          <w:szCs w:val="18"/>
        </w:rPr>
        <w:t xml:space="preserve">momentum_20d       = price - SMA_20</w:t>
      </w:r>
    </w:p>
    <w:p>
      <w:pPr>
        <w:spacing w:before="80" w:after="80"/>
        <w:ind w:left="720"/>
      </w:pPr>
      <w:r>
        <w:rPr>
          <w:rFonts w:ascii="Courier New" w:cs="Courier New" w:eastAsia="Courier New" w:hAnsi="Courier New"/>
          <w:color w:val="333333"/>
          <w:sz w:val="18"/>
          <w:szCs w:val="18"/>
        </w:rPr>
        <w:t xml:space="preserve">mean_reversion_gap = price - long_term_average</w:t>
      </w:r>
    </w:p>
    <w:p>
      <w:pPr>
        <w:spacing w:before="80" w:after="80"/>
        <w:ind w:left="720"/>
      </w:pPr>
      <w:r>
        <w:rPr>
          <w:rFonts w:ascii="Courier New" w:cs="Courier New" w:eastAsia="Courier New" w:hAnsi="Courier New"/>
          <w:color w:val="333333"/>
          <w:sz w:val="18"/>
          <w:szCs w:val="18"/>
        </w:rPr>
        <w:t xml:space="preserve">fear_index         = VIX_level</w:t>
      </w:r>
    </w:p>
    <w:p>
      <w:pPr>
        <w:spacing w:before="80" w:after="80"/>
      </w:pPr>
      <w:r>
        <w:t xml:space="preserve"/>
      </w:r>
    </w:p>
    <w:p>
      <w:pPr>
        <w:pStyle w:val="Heading1"/>
        <w:spacing w:before="360" w:after="200"/>
      </w:pPr>
      <w:r>
        <w:rPr>
          <w:rFonts w:ascii="Arial" w:cs="Arial" w:eastAsia="Arial" w:hAnsi="Arial"/>
          <w:b/>
          <w:bCs/>
          <w:color w:val="1A1A2E"/>
          <w:sz w:val="36"/>
          <w:szCs w:val="36"/>
        </w:rPr>
        <w:t xml:space="preserve">5. Stochastic Models</w:t>
      </w:r>
    </w:p>
    <w:p>
      <w:pPr>
        <w:pStyle w:val="Heading2"/>
        <w:pBdr>
          <w:bottom w:val="single" w:color="B8860B" w:sz="4" w:space="4"/>
        </w:pBdr>
        <w:spacing w:before="280" w:after="160"/>
      </w:pPr>
      <w:r>
        <w:rPr>
          <w:rFonts w:ascii="Arial" w:cs="Arial" w:eastAsia="Arial" w:hAnsi="Arial"/>
          <w:b/>
          <w:bCs/>
          <w:color w:val="1B4F8A"/>
          <w:sz w:val="28"/>
          <w:szCs w:val="28"/>
        </w:rPr>
        <w:t xml:space="preserve">5.1 Model 1 — Geometric Brownian Motion (GBM)</w:t>
      </w:r>
    </w:p>
    <w:p>
      <w:pPr>
        <w:spacing w:before="80" w:after="120"/>
      </w:pPr>
      <w:r>
        <w:rPr>
          <w:rFonts w:ascii="Arial" w:cs="Arial" w:eastAsia="Arial" w:hAnsi="Arial"/>
          <w:sz w:val="22"/>
          <w:szCs w:val="22"/>
        </w:rPr>
        <w:t xml:space="preserve">GBM is the foundational model used in Black-Scholes options pricing. It is the starting point for all more advanced models. While not perfectly suited for gold (which has mean-reverting properties), GBM provides a valuable baseline for comparison.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r>
              <w:rPr>
                <w:rFonts w:ascii="Arial" w:cs="Arial" w:eastAsia="Arial" w:hAnsi="Arial"/>
                <w:b/>
                <w:bCs/>
                <w:color w:val="FFFFFF"/>
                <w:sz w:val="22"/>
                <w:szCs w:val="22"/>
              </w:rPr>
              <w:t xml:space="preserve">GBM Formula</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  dS = mu * S * dt + sigma * S * dW</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  </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  S     = current gold price</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  mu    = drift (expected return)</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  sigma = volatility</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  dW    = Wiener process (random noise)</w:t>
            </w:r>
          </w:p>
        </w:tc>
      </w:tr>
    </w:tbl>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Strengths: Simple, fast, well-understood</w:t>
      </w:r>
    </w:p>
    <w:p>
      <w:pPr>
        <w:pStyle w:val="ListParagraph"/>
        <w:numPr>
          <w:ilvl w:val="0"/>
          <w:numId w:val="2"/>
        </w:numPr>
        <w:spacing w:before="60" w:after="60"/>
      </w:pPr>
      <w:r>
        <w:rPr>
          <w:rFonts w:ascii="Arial" w:cs="Arial" w:eastAsia="Arial" w:hAnsi="Arial"/>
          <w:sz w:val="22"/>
          <w:szCs w:val="22"/>
        </w:rPr>
        <w:t xml:space="preserve">Weaknesses: No mean reversion, no jumps, constant volatility</w:t>
      </w:r>
    </w:p>
    <w:p>
      <w:pPr>
        <w:pStyle w:val="ListParagraph"/>
        <w:numPr>
          <w:ilvl w:val="0"/>
          <w:numId w:val="2"/>
        </w:numPr>
        <w:spacing w:before="60" w:after="60"/>
      </w:pPr>
      <w:r>
        <w:rPr>
          <w:rFonts w:ascii="Arial" w:cs="Arial" w:eastAsia="Arial" w:hAnsi="Arial"/>
          <w:sz w:val="22"/>
          <w:szCs w:val="22"/>
        </w:rPr>
        <w:t xml:space="preserve">Best for: Short-term baseline comparison</w:t>
      </w:r>
    </w:p>
    <w:p>
      <w:pPr>
        <w:spacing w:before="80" w:after="80"/>
      </w:pPr>
      <w:r>
        <w:t xml:space="preserve"/>
      </w:r>
    </w:p>
    <w:p>
      <w:pPr>
        <w:pStyle w:val="Heading2"/>
        <w:pBdr>
          <w:bottom w:val="single" w:color="B8860B" w:sz="4" w:space="4"/>
        </w:pBdr>
        <w:spacing w:before="280" w:after="160"/>
      </w:pPr>
      <w:r>
        <w:rPr>
          <w:rFonts w:ascii="Arial" w:cs="Arial" w:eastAsia="Arial" w:hAnsi="Arial"/>
          <w:b/>
          <w:bCs/>
          <w:color w:val="1B4F8A"/>
          <w:sz w:val="28"/>
          <w:szCs w:val="28"/>
        </w:rPr>
        <w:t xml:space="preserve">5.2 Model 2 — Mean Reversion / Ornstein-Uhlenbeck (Most Important for Gold)</w:t>
      </w:r>
    </w:p>
    <w:p>
      <w:pPr>
        <w:spacing w:before="80" w:after="120"/>
      </w:pPr>
      <w:r>
        <w:rPr>
          <w:rFonts w:ascii="Arial" w:cs="Arial" w:eastAsia="Arial" w:hAnsi="Arial"/>
          <w:sz w:val="22"/>
          <w:szCs w:val="22"/>
        </w:rPr>
        <w:t xml:space="preserve">Gold has a well-documented tendency to revert toward a long-term fair value. The Ornstein-Uhlenbeck (OU) process explicitly models this behavior, making it the most appropriate single-factor model for gold price prediction.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r>
              <w:rPr>
                <w:rFonts w:ascii="Arial" w:cs="Arial" w:eastAsia="Arial" w:hAnsi="Arial"/>
                <w:b/>
                <w:bCs/>
                <w:color w:val="FFFFFF"/>
                <w:sz w:val="22"/>
                <w:szCs w:val="22"/>
              </w:rPr>
              <w:t xml:space="preserve">Ornstein-Uhlenbeck Formula</w:t>
            </w:r>
          </w:p>
        </w:tc>
      </w:tr>
      <w:tr>
        <w:tc>
          <w:tcPr>
            <w:tcW w:type="dxa" w:w="9360"/>
            <w:tcBorders>
              <w:top w:val="single" w:color="CCCCCC" w:sz="1"/>
              <w:left w:val="single" w:color="CCCCCC" w:sz="1"/>
              <w:bottom w:val="single" w:color="CCCCCC" w:sz="1"/>
              <w:right w:val="single" w:color="CCCCCC" w:sz="1"/>
            </w:tcBorders>
            <w:shd w:fill="FFF8DC" w:val="clear"/>
            <w:tcMar>
              <w:top w:type="dxa" w:w="80"/>
              <w:left w:type="dxa" w:w="160"/>
              <w:bottom w:type="dxa" w:w="80"/>
              <w:right w:type="dxa" w:w="160"/>
            </w:tcMar>
          </w:tcPr>
          <w:p>
            <w:r>
              <w:rPr>
                <w:rFonts w:ascii="Arial" w:cs="Arial" w:eastAsia="Arial" w:hAnsi="Arial"/>
                <w:sz w:val="20"/>
                <w:szCs w:val="20"/>
              </w:rPr>
              <w:t xml:space="preserve">  dS = kappa * (theta - S) * dt + sigma * dW</w:t>
            </w:r>
          </w:p>
        </w:tc>
      </w:tr>
      <w:tr>
        <w:tc>
          <w:tcPr>
            <w:tcW w:type="dxa" w:w="9360"/>
            <w:tcBorders>
              <w:top w:val="single" w:color="CCCCCC" w:sz="1"/>
              <w:left w:val="single" w:color="CCCCCC" w:sz="1"/>
              <w:bottom w:val="single" w:color="CCCCCC" w:sz="1"/>
              <w:right w:val="single" w:color="CCCCCC" w:sz="1"/>
            </w:tcBorders>
            <w:shd w:fill="FFF8DC" w:val="clear"/>
            <w:tcMar>
              <w:top w:type="dxa" w:w="80"/>
              <w:left w:type="dxa" w:w="160"/>
              <w:bottom w:type="dxa" w:w="80"/>
              <w:right w:type="dxa" w:w="160"/>
            </w:tcMar>
          </w:tcPr>
          <w:p>
            <w:r>
              <w:rPr>
                <w:rFonts w:ascii="Arial" w:cs="Arial" w:eastAsia="Arial" w:hAnsi="Arial"/>
                <w:sz w:val="20"/>
                <w:szCs w:val="20"/>
              </w:rPr>
              <w:t xml:space="preserve">  </w:t>
            </w:r>
          </w:p>
        </w:tc>
      </w:tr>
      <w:tr>
        <w:tc>
          <w:tcPr>
            <w:tcW w:type="dxa" w:w="9360"/>
            <w:tcBorders>
              <w:top w:val="single" w:color="CCCCCC" w:sz="1"/>
              <w:left w:val="single" w:color="CCCCCC" w:sz="1"/>
              <w:bottom w:val="single" w:color="CCCCCC" w:sz="1"/>
              <w:right w:val="single" w:color="CCCCCC" w:sz="1"/>
            </w:tcBorders>
            <w:shd w:fill="FFF8DC" w:val="clear"/>
            <w:tcMar>
              <w:top w:type="dxa" w:w="80"/>
              <w:left w:type="dxa" w:w="160"/>
              <w:bottom w:type="dxa" w:w="80"/>
              <w:right w:type="dxa" w:w="160"/>
            </w:tcMar>
          </w:tcPr>
          <w:p>
            <w:r>
              <w:rPr>
                <w:rFonts w:ascii="Arial" w:cs="Arial" w:eastAsia="Arial" w:hAnsi="Arial"/>
                <w:sz w:val="20"/>
                <w:szCs w:val="20"/>
              </w:rPr>
              <w:t xml:space="preserve">  kappa = speed of mean reversion (how fast price returns to average)</w:t>
            </w:r>
          </w:p>
        </w:tc>
      </w:tr>
      <w:tr>
        <w:tc>
          <w:tcPr>
            <w:tcW w:type="dxa" w:w="9360"/>
            <w:tcBorders>
              <w:top w:val="single" w:color="CCCCCC" w:sz="1"/>
              <w:left w:val="single" w:color="CCCCCC" w:sz="1"/>
              <w:bottom w:val="single" w:color="CCCCCC" w:sz="1"/>
              <w:right w:val="single" w:color="CCCCCC" w:sz="1"/>
            </w:tcBorders>
            <w:shd w:fill="FFF8DC" w:val="clear"/>
            <w:tcMar>
              <w:top w:type="dxa" w:w="80"/>
              <w:left w:type="dxa" w:w="160"/>
              <w:bottom w:type="dxa" w:w="80"/>
              <w:right w:type="dxa" w:w="160"/>
            </w:tcMar>
          </w:tcPr>
          <w:p>
            <w:r>
              <w:rPr>
                <w:rFonts w:ascii="Arial" w:cs="Arial" w:eastAsia="Arial" w:hAnsi="Arial"/>
                <w:sz w:val="20"/>
                <w:szCs w:val="20"/>
              </w:rPr>
              <w:t xml:space="preserve">  theta = long-term equilibrium price (the 'true' value)</w:t>
            </w:r>
          </w:p>
        </w:tc>
      </w:tr>
      <w:tr>
        <w:tc>
          <w:tcPr>
            <w:tcW w:type="dxa" w:w="9360"/>
            <w:tcBorders>
              <w:top w:val="single" w:color="CCCCCC" w:sz="1"/>
              <w:left w:val="single" w:color="CCCCCC" w:sz="1"/>
              <w:bottom w:val="single" w:color="CCCCCC" w:sz="1"/>
              <w:right w:val="single" w:color="CCCCCC" w:sz="1"/>
            </w:tcBorders>
            <w:shd w:fill="FFF8DC" w:val="clear"/>
            <w:tcMar>
              <w:top w:type="dxa" w:w="80"/>
              <w:left w:type="dxa" w:w="160"/>
              <w:bottom w:type="dxa" w:w="80"/>
              <w:right w:type="dxa" w:w="160"/>
            </w:tcMar>
          </w:tcPr>
          <w:p>
            <w:r>
              <w:rPr>
                <w:rFonts w:ascii="Arial" w:cs="Arial" w:eastAsia="Arial" w:hAnsi="Arial"/>
                <w:sz w:val="20"/>
                <w:szCs w:val="20"/>
              </w:rPr>
              <w:t xml:space="preserve">  sigma = volatility around the mean</w:t>
            </w:r>
          </w:p>
        </w:tc>
      </w:tr>
      <w:tr>
        <w:tc>
          <w:tcPr>
            <w:tcW w:type="dxa" w:w="9360"/>
            <w:tcBorders>
              <w:top w:val="single" w:color="CCCCCC" w:sz="1"/>
              <w:left w:val="single" w:color="CCCCCC" w:sz="1"/>
              <w:bottom w:val="single" w:color="CCCCCC" w:sz="1"/>
              <w:right w:val="single" w:color="CCCCCC" w:sz="1"/>
            </w:tcBorders>
            <w:shd w:fill="FFF8DC" w:val="clear"/>
            <w:tcMar>
              <w:top w:type="dxa" w:w="80"/>
              <w:left w:type="dxa" w:w="160"/>
              <w:bottom w:type="dxa" w:w="80"/>
              <w:right w:type="dxa" w:w="160"/>
            </w:tcMar>
          </w:tcPr>
          <w:p>
            <w:r>
              <w:rPr>
                <w:rFonts w:ascii="Arial" w:cs="Arial" w:eastAsia="Arial" w:hAnsi="Arial"/>
                <w:sz w:val="20"/>
                <w:szCs w:val="20"/>
              </w:rPr>
              <w:t xml:space="preserve">  dW    = random noise term</w:t>
            </w:r>
          </w:p>
        </w:tc>
      </w:tr>
    </w:tbl>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Strengths: Captures gold's natural tendency to return to fair value</w:t>
      </w:r>
    </w:p>
    <w:p>
      <w:pPr>
        <w:pStyle w:val="ListParagraph"/>
        <w:numPr>
          <w:ilvl w:val="0"/>
          <w:numId w:val="2"/>
        </w:numPr>
        <w:spacing w:before="60" w:after="60"/>
      </w:pPr>
      <w:r>
        <w:rPr>
          <w:rFonts w:ascii="Arial" w:cs="Arial" w:eastAsia="Arial" w:hAnsi="Arial"/>
          <w:sz w:val="22"/>
          <w:szCs w:val="22"/>
        </w:rPr>
        <w:t xml:space="preserve">Strengths: More realistic long-term predictions than GBM</w:t>
      </w:r>
    </w:p>
    <w:p>
      <w:pPr>
        <w:pStyle w:val="ListParagraph"/>
        <w:numPr>
          <w:ilvl w:val="0"/>
          <w:numId w:val="2"/>
        </w:numPr>
        <w:spacing w:before="60" w:after="60"/>
      </w:pPr>
      <w:r>
        <w:rPr>
          <w:rFonts w:ascii="Arial" w:cs="Arial" w:eastAsia="Arial" w:hAnsi="Arial"/>
          <w:sz w:val="22"/>
          <w:szCs w:val="22"/>
        </w:rPr>
        <w:t xml:space="preserve">Weaknesses: Assumes a constant long-term mean</w:t>
      </w:r>
    </w:p>
    <w:p>
      <w:pPr>
        <w:pStyle w:val="ListParagraph"/>
        <w:numPr>
          <w:ilvl w:val="0"/>
          <w:numId w:val="2"/>
        </w:numPr>
        <w:spacing w:before="60" w:after="60"/>
      </w:pPr>
      <w:r>
        <w:rPr>
          <w:rFonts w:ascii="Arial" w:cs="Arial" w:eastAsia="Arial" w:hAnsi="Arial"/>
          <w:sz w:val="22"/>
          <w:szCs w:val="22"/>
        </w:rPr>
        <w:t xml:space="preserve">Best for: Medium to long-term gold price forecasting</w:t>
      </w:r>
    </w:p>
    <w:p>
      <w:pPr>
        <w:spacing w:before="80" w:after="80"/>
      </w:pPr>
      <w:r>
        <w:t xml:space="preserve"/>
      </w:r>
    </w:p>
    <w:p>
      <w:pPr>
        <w:pStyle w:val="Heading2"/>
        <w:pBdr>
          <w:bottom w:val="single" w:color="B8860B" w:sz="4" w:space="4"/>
        </w:pBdr>
        <w:spacing w:before="280" w:after="160"/>
      </w:pPr>
      <w:r>
        <w:rPr>
          <w:rFonts w:ascii="Arial" w:cs="Arial" w:eastAsia="Arial" w:hAnsi="Arial"/>
          <w:b/>
          <w:bCs/>
          <w:color w:val="1B4F8A"/>
          <w:sz w:val="28"/>
          <w:szCs w:val="28"/>
        </w:rPr>
        <w:t xml:space="preserve">5.3 Model 3 — Jump Diffusion (Merton Model)</w:t>
      </w:r>
    </w:p>
    <w:p>
      <w:pPr>
        <w:spacing w:before="80" w:after="120"/>
      </w:pPr>
      <w:r>
        <w:rPr>
          <w:rFonts w:ascii="Arial" w:cs="Arial" w:eastAsia="Arial" w:hAnsi="Arial"/>
          <w:sz w:val="22"/>
          <w:szCs w:val="22"/>
        </w:rPr>
        <w:t xml:space="preserve">Gold experiences sudden, large price movements during geopolitical crises, financial shocks, or central bank interventions. The Merton jump-diffusion model adds a Poisson process on top of GBM to capture these rare but significant events.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r>
              <w:rPr>
                <w:rFonts w:ascii="Arial" w:cs="Arial" w:eastAsia="Arial" w:hAnsi="Arial"/>
                <w:b/>
                <w:bCs/>
                <w:color w:val="FFFFFF"/>
                <w:sz w:val="22"/>
                <w:szCs w:val="22"/>
              </w:rPr>
              <w:t xml:space="preserve">Merton Jump Diffusion Formula</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  dS = mu * S * dt + sigma * S * dW + J * S * dN</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  </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  J  = jump size (drawn from log-normal distribution)</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  dN = Poisson process (controls frequency of jumps)</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  lambda = average number of jumps per year</w:t>
            </w:r>
          </w:p>
        </w:tc>
      </w:tr>
    </w:tbl>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Strengths: Captures crisis-driven gold spikes</w:t>
      </w:r>
    </w:p>
    <w:p>
      <w:pPr>
        <w:pStyle w:val="ListParagraph"/>
        <w:numPr>
          <w:ilvl w:val="0"/>
          <w:numId w:val="2"/>
        </w:numPr>
        <w:spacing w:before="60" w:after="60"/>
      </w:pPr>
      <w:r>
        <w:rPr>
          <w:rFonts w:ascii="Arial" w:cs="Arial" w:eastAsia="Arial" w:hAnsi="Arial"/>
          <w:sz w:val="22"/>
          <w:szCs w:val="22"/>
        </w:rPr>
        <w:t xml:space="preserve">Strengths: Realistic tail risk modeling</w:t>
      </w:r>
    </w:p>
    <w:p>
      <w:pPr>
        <w:pStyle w:val="ListParagraph"/>
        <w:numPr>
          <w:ilvl w:val="0"/>
          <w:numId w:val="2"/>
        </w:numPr>
        <w:spacing w:before="60" w:after="60"/>
      </w:pPr>
      <w:r>
        <w:rPr>
          <w:rFonts w:ascii="Arial" w:cs="Arial" w:eastAsia="Arial" w:hAnsi="Arial"/>
          <w:sz w:val="22"/>
          <w:szCs w:val="22"/>
        </w:rPr>
        <w:t xml:space="preserve">Weaknesses: Jump parameters are hard to calibrate</w:t>
      </w:r>
    </w:p>
    <w:p>
      <w:pPr>
        <w:pStyle w:val="ListParagraph"/>
        <w:numPr>
          <w:ilvl w:val="0"/>
          <w:numId w:val="2"/>
        </w:numPr>
        <w:spacing w:before="60" w:after="60"/>
      </w:pPr>
      <w:r>
        <w:rPr>
          <w:rFonts w:ascii="Arial" w:cs="Arial" w:eastAsia="Arial" w:hAnsi="Arial"/>
          <w:sz w:val="22"/>
          <w:szCs w:val="22"/>
        </w:rPr>
        <w:t xml:space="preserve">Best for: Risk analysis, stress testing scenarios</w:t>
      </w:r>
    </w:p>
    <w:p>
      <w:pPr>
        <w:spacing w:before="80" w:after="80"/>
      </w:pPr>
      <w:r>
        <w:t xml:space="preserve"/>
      </w:r>
    </w:p>
    <w:p>
      <w:pPr>
        <w:pStyle w:val="Heading2"/>
        <w:pBdr>
          <w:bottom w:val="single" w:color="B8860B" w:sz="4" w:space="4"/>
        </w:pBdr>
        <w:spacing w:before="280" w:after="160"/>
      </w:pPr>
      <w:r>
        <w:rPr>
          <w:rFonts w:ascii="Arial" w:cs="Arial" w:eastAsia="Arial" w:hAnsi="Arial"/>
          <w:b/>
          <w:bCs/>
          <w:color w:val="1B4F8A"/>
          <w:sz w:val="28"/>
          <w:szCs w:val="28"/>
        </w:rPr>
        <w:t xml:space="preserve">5.4 Model 4 — Heston Stochastic Volatility</w:t>
      </w:r>
    </w:p>
    <w:p>
      <w:pPr>
        <w:spacing w:before="80" w:after="120"/>
      </w:pPr>
      <w:r>
        <w:rPr>
          <w:rFonts w:ascii="Arial" w:cs="Arial" w:eastAsia="Arial" w:hAnsi="Arial"/>
          <w:sz w:val="22"/>
          <w:szCs w:val="22"/>
        </w:rPr>
        <w:t xml:space="preserve">Gold volatility is not constant — it changes over time, clustering around periods of market stress. The Heston model treats volatility itself as a random process, making it more realistic than models with fixed volatility.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r>
              <w:rPr>
                <w:rFonts w:ascii="Arial" w:cs="Arial" w:eastAsia="Arial" w:hAnsi="Arial"/>
                <w:b/>
                <w:bCs/>
                <w:color w:val="FFFFFF"/>
                <w:sz w:val="22"/>
                <w:szCs w:val="22"/>
              </w:rPr>
              <w:t xml:space="preserve">Heston Model Formula</w:t>
            </w:r>
          </w:p>
        </w:tc>
      </w:tr>
      <w:tr>
        <w:tc>
          <w:tcPr>
            <w:tcW w:type="dxa" w:w="9360"/>
            <w:tcBorders>
              <w:top w:val="single" w:color="CCCCCC" w:sz="1"/>
              <w:left w:val="single" w:color="CCCCCC" w:sz="1"/>
              <w:bottom w:val="single" w:color="CCCCCC" w:sz="1"/>
              <w:right w:val="single" w:color="CCCCCC" w:sz="1"/>
            </w:tcBorders>
            <w:shd w:fill="FFF8DC" w:val="clear"/>
            <w:tcMar>
              <w:top w:type="dxa" w:w="80"/>
              <w:left w:type="dxa" w:w="160"/>
              <w:bottom w:type="dxa" w:w="80"/>
              <w:right w:type="dxa" w:w="160"/>
            </w:tcMar>
          </w:tcPr>
          <w:p>
            <w:r>
              <w:rPr>
                <w:rFonts w:ascii="Arial" w:cs="Arial" w:eastAsia="Arial" w:hAnsi="Arial"/>
                <w:sz w:val="20"/>
                <w:szCs w:val="20"/>
              </w:rPr>
              <w:t xml:space="preserve">  dS = mu * S * dt + sqrt(v) * S * dW1</w:t>
            </w:r>
          </w:p>
        </w:tc>
      </w:tr>
      <w:tr>
        <w:tc>
          <w:tcPr>
            <w:tcW w:type="dxa" w:w="9360"/>
            <w:tcBorders>
              <w:top w:val="single" w:color="CCCCCC" w:sz="1"/>
              <w:left w:val="single" w:color="CCCCCC" w:sz="1"/>
              <w:bottom w:val="single" w:color="CCCCCC" w:sz="1"/>
              <w:right w:val="single" w:color="CCCCCC" w:sz="1"/>
            </w:tcBorders>
            <w:shd w:fill="FFF8DC" w:val="clear"/>
            <w:tcMar>
              <w:top w:type="dxa" w:w="80"/>
              <w:left w:type="dxa" w:w="160"/>
              <w:bottom w:type="dxa" w:w="80"/>
              <w:right w:type="dxa" w:w="160"/>
            </w:tcMar>
          </w:tcPr>
          <w:p>
            <w:r>
              <w:rPr>
                <w:rFonts w:ascii="Arial" w:cs="Arial" w:eastAsia="Arial" w:hAnsi="Arial"/>
                <w:sz w:val="20"/>
                <w:szCs w:val="20"/>
              </w:rPr>
              <w:t xml:space="preserve">  dv = kappa * (theta - v) * dt + xi * sqrt(v) * dW2</w:t>
            </w:r>
          </w:p>
        </w:tc>
      </w:tr>
      <w:tr>
        <w:tc>
          <w:tcPr>
            <w:tcW w:type="dxa" w:w="9360"/>
            <w:tcBorders>
              <w:top w:val="single" w:color="CCCCCC" w:sz="1"/>
              <w:left w:val="single" w:color="CCCCCC" w:sz="1"/>
              <w:bottom w:val="single" w:color="CCCCCC" w:sz="1"/>
              <w:right w:val="single" w:color="CCCCCC" w:sz="1"/>
            </w:tcBorders>
            <w:shd w:fill="FFF8DC" w:val="clear"/>
            <w:tcMar>
              <w:top w:type="dxa" w:w="80"/>
              <w:left w:type="dxa" w:w="160"/>
              <w:bottom w:type="dxa" w:w="80"/>
              <w:right w:type="dxa" w:w="160"/>
            </w:tcMar>
          </w:tcPr>
          <w:p>
            <w:r>
              <w:rPr>
                <w:rFonts w:ascii="Arial" w:cs="Arial" w:eastAsia="Arial" w:hAnsi="Arial"/>
                <w:sz w:val="20"/>
                <w:szCs w:val="20"/>
              </w:rPr>
              <w:t xml:space="preserve">  </w:t>
            </w:r>
          </w:p>
        </w:tc>
      </w:tr>
      <w:tr>
        <w:tc>
          <w:tcPr>
            <w:tcW w:type="dxa" w:w="9360"/>
            <w:tcBorders>
              <w:top w:val="single" w:color="CCCCCC" w:sz="1"/>
              <w:left w:val="single" w:color="CCCCCC" w:sz="1"/>
              <w:bottom w:val="single" w:color="CCCCCC" w:sz="1"/>
              <w:right w:val="single" w:color="CCCCCC" w:sz="1"/>
            </w:tcBorders>
            <w:shd w:fill="FFF8DC" w:val="clear"/>
            <w:tcMar>
              <w:top w:type="dxa" w:w="80"/>
              <w:left w:type="dxa" w:w="160"/>
              <w:bottom w:type="dxa" w:w="80"/>
              <w:right w:type="dxa" w:w="160"/>
            </w:tcMar>
          </w:tcPr>
          <w:p>
            <w:r>
              <w:rPr>
                <w:rFonts w:ascii="Arial" w:cs="Arial" w:eastAsia="Arial" w:hAnsi="Arial"/>
                <w:sz w:val="20"/>
                <w:szCs w:val="20"/>
              </w:rPr>
              <w:t xml:space="preserve">  v     = instantaneous variance (changes randomly)</w:t>
            </w:r>
          </w:p>
        </w:tc>
      </w:tr>
      <w:tr>
        <w:tc>
          <w:tcPr>
            <w:tcW w:type="dxa" w:w="9360"/>
            <w:tcBorders>
              <w:top w:val="single" w:color="CCCCCC" w:sz="1"/>
              <w:left w:val="single" w:color="CCCCCC" w:sz="1"/>
              <w:bottom w:val="single" w:color="CCCCCC" w:sz="1"/>
              <w:right w:val="single" w:color="CCCCCC" w:sz="1"/>
            </w:tcBorders>
            <w:shd w:fill="FFF8DC" w:val="clear"/>
            <w:tcMar>
              <w:top w:type="dxa" w:w="80"/>
              <w:left w:type="dxa" w:w="160"/>
              <w:bottom w:type="dxa" w:w="80"/>
              <w:right w:type="dxa" w:w="160"/>
            </w:tcMar>
          </w:tcPr>
          <w:p>
            <w:r>
              <w:rPr>
                <w:rFonts w:ascii="Arial" w:cs="Arial" w:eastAsia="Arial" w:hAnsi="Arial"/>
                <w:sz w:val="20"/>
                <w:szCs w:val="20"/>
              </w:rPr>
              <w:t xml:space="preserve">  xi    = volatility of volatility</w:t>
            </w:r>
          </w:p>
        </w:tc>
      </w:tr>
      <w:tr>
        <w:tc>
          <w:tcPr>
            <w:tcW w:type="dxa" w:w="9360"/>
            <w:tcBorders>
              <w:top w:val="single" w:color="CCCCCC" w:sz="1"/>
              <w:left w:val="single" w:color="CCCCCC" w:sz="1"/>
              <w:bottom w:val="single" w:color="CCCCCC" w:sz="1"/>
              <w:right w:val="single" w:color="CCCCCC" w:sz="1"/>
            </w:tcBorders>
            <w:shd w:fill="FFF8DC" w:val="clear"/>
            <w:tcMar>
              <w:top w:type="dxa" w:w="80"/>
              <w:left w:type="dxa" w:w="160"/>
              <w:bottom w:type="dxa" w:w="80"/>
              <w:right w:type="dxa" w:w="160"/>
            </w:tcMar>
          </w:tcPr>
          <w:p>
            <w:r>
              <w:rPr>
                <w:rFonts w:ascii="Arial" w:cs="Arial" w:eastAsia="Arial" w:hAnsi="Arial"/>
                <w:sz w:val="20"/>
                <w:szCs w:val="20"/>
              </w:rPr>
              <w:t xml:space="preserve">  dW1, dW2 = two correlated Brownian motions (correlation = rho)</w:t>
            </w:r>
          </w:p>
        </w:tc>
      </w:tr>
    </w:tbl>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Strengths: Realistic volatility clustering, volatility smile</w:t>
      </w:r>
    </w:p>
    <w:p>
      <w:pPr>
        <w:pStyle w:val="ListParagraph"/>
        <w:numPr>
          <w:ilvl w:val="0"/>
          <w:numId w:val="2"/>
        </w:numPr>
        <w:spacing w:before="60" w:after="60"/>
      </w:pPr>
      <w:r>
        <w:rPr>
          <w:rFonts w:ascii="Arial" w:cs="Arial" w:eastAsia="Arial" w:hAnsi="Arial"/>
          <w:sz w:val="22"/>
          <w:szCs w:val="22"/>
        </w:rPr>
        <w:t xml:space="preserve">Strengths: Better fit for options on gold</w:t>
      </w:r>
    </w:p>
    <w:p>
      <w:pPr>
        <w:pStyle w:val="ListParagraph"/>
        <w:numPr>
          <w:ilvl w:val="0"/>
          <w:numId w:val="2"/>
        </w:numPr>
        <w:spacing w:before="60" w:after="60"/>
      </w:pPr>
      <w:r>
        <w:rPr>
          <w:rFonts w:ascii="Arial" w:cs="Arial" w:eastAsia="Arial" w:hAnsi="Arial"/>
          <w:sz w:val="22"/>
          <w:szCs w:val="22"/>
        </w:rPr>
        <w:t xml:space="preserve">Weaknesses: More parameters to calibrate, slower computation</w:t>
      </w:r>
    </w:p>
    <w:p>
      <w:pPr>
        <w:pStyle w:val="ListParagraph"/>
        <w:numPr>
          <w:ilvl w:val="0"/>
          <w:numId w:val="2"/>
        </w:numPr>
        <w:spacing w:before="60" w:after="60"/>
      </w:pPr>
      <w:r>
        <w:rPr>
          <w:rFonts w:ascii="Arial" w:cs="Arial" w:eastAsia="Arial" w:hAnsi="Arial"/>
          <w:sz w:val="22"/>
          <w:szCs w:val="22"/>
        </w:rPr>
        <w:t xml:space="preserve">Best for: Options pricing, volatility forecasting</w:t>
      </w:r>
    </w:p>
    <w:p>
      <w:pPr>
        <w:spacing w:before="80" w:after="80"/>
      </w:pPr>
      <w:r>
        <w:t xml:space="preserve"/>
      </w:r>
    </w:p>
    <w:p>
      <w:pPr>
        <w:pStyle w:val="Heading2"/>
        <w:pBdr>
          <w:bottom w:val="single" w:color="B8860B" w:sz="4" w:space="4"/>
        </w:pBdr>
        <w:spacing w:before="280" w:after="160"/>
      </w:pPr>
      <w:r>
        <w:rPr>
          <w:rFonts w:ascii="Arial" w:cs="Arial" w:eastAsia="Arial" w:hAnsi="Arial"/>
          <w:b/>
          <w:bCs/>
          <w:color w:val="1B4F8A"/>
          <w:sz w:val="28"/>
          <w:szCs w:val="28"/>
        </w:rPr>
        <w:t xml:space="preserve">5.5 Model 5 — Regime Switching (Markov Chain)</w:t>
      </w:r>
    </w:p>
    <w:p>
      <w:pPr>
        <w:spacing w:before="80" w:after="120"/>
      </w:pPr>
      <w:r>
        <w:rPr>
          <w:rFonts w:ascii="Arial" w:cs="Arial" w:eastAsia="Arial" w:hAnsi="Arial"/>
          <w:sz w:val="22"/>
          <w:szCs w:val="22"/>
        </w:rPr>
        <w:t xml:space="preserve">Gold behaves very differently in calm markets vs. crisis periods. Regime switching models use a Markov chain to switch between two or more distinct market states, each with its own drift and volatility parameters.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r>
              <w:rPr>
                <w:rFonts w:ascii="Arial" w:cs="Arial" w:eastAsia="Arial" w:hAnsi="Arial"/>
                <w:b/>
                <w:bCs/>
                <w:color w:val="FFFFFF"/>
                <w:sz w:val="22"/>
                <w:szCs w:val="22"/>
              </w:rPr>
              <w:t xml:space="preserve">Regime Switching Logic</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  Regime 1 (Calm):  low volatility, slow drift</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  Regime 2 (Crisis): high volatility, fast upward movement</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  </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  Transition matrix P controls the probability of switching:</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  P[1-&gt;2] = probability of calm turning into crisis</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  P[2-&gt;1] = probability of crisis returning to calm</w:t>
            </w:r>
          </w:p>
        </w:tc>
      </w:tr>
    </w:tbl>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Strengths: Captures structural market changes realistically</w:t>
      </w:r>
    </w:p>
    <w:p>
      <w:pPr>
        <w:pStyle w:val="ListParagraph"/>
        <w:numPr>
          <w:ilvl w:val="0"/>
          <w:numId w:val="2"/>
        </w:numPr>
        <w:spacing w:before="60" w:after="60"/>
      </w:pPr>
      <w:r>
        <w:rPr>
          <w:rFonts w:ascii="Arial" w:cs="Arial" w:eastAsia="Arial" w:hAnsi="Arial"/>
          <w:sz w:val="22"/>
          <w:szCs w:val="22"/>
        </w:rPr>
        <w:t xml:space="preserve">Strengths: Excellent for scenario analysis</w:t>
      </w:r>
    </w:p>
    <w:p>
      <w:pPr>
        <w:pStyle w:val="ListParagraph"/>
        <w:numPr>
          <w:ilvl w:val="0"/>
          <w:numId w:val="2"/>
        </w:numPr>
        <w:spacing w:before="60" w:after="60"/>
      </w:pPr>
      <w:r>
        <w:rPr>
          <w:rFonts w:ascii="Arial" w:cs="Arial" w:eastAsia="Arial" w:hAnsi="Arial"/>
          <w:sz w:val="22"/>
          <w:szCs w:val="22"/>
        </w:rPr>
        <w:t xml:space="preserve">Weaknesses: Regime parameters need historical calibration</w:t>
      </w:r>
    </w:p>
    <w:p>
      <w:pPr>
        <w:pStyle w:val="ListParagraph"/>
        <w:numPr>
          <w:ilvl w:val="0"/>
          <w:numId w:val="2"/>
        </w:numPr>
        <w:spacing w:before="60" w:after="60"/>
      </w:pPr>
      <w:r>
        <w:rPr>
          <w:rFonts w:ascii="Arial" w:cs="Arial" w:eastAsia="Arial" w:hAnsi="Arial"/>
          <w:sz w:val="22"/>
          <w:szCs w:val="22"/>
        </w:rPr>
        <w:t xml:space="preserve">Best for: Long-term forecasting, scenario planning</w:t>
      </w:r>
    </w:p>
    <w:p>
      <w:pPr>
        <w:spacing w:before="80" w:after="80"/>
      </w:pPr>
      <w:r>
        <w:t xml:space="preserve"/>
      </w:r>
    </w:p>
    <w:p>
      <w:pPr>
        <w:pStyle w:val="Heading2"/>
        <w:pBdr>
          <w:bottom w:val="single" w:color="B8860B" w:sz="4" w:space="4"/>
        </w:pBdr>
        <w:spacing w:before="280" w:after="160"/>
      </w:pPr>
      <w:r>
        <w:rPr>
          <w:rFonts w:ascii="Arial" w:cs="Arial" w:eastAsia="Arial" w:hAnsi="Arial"/>
          <w:b/>
          <w:bCs/>
          <w:color w:val="1B4F8A"/>
          <w:sz w:val="28"/>
          <w:szCs w:val="28"/>
        </w:rPr>
        <w:t xml:space="preserve">5.6 Model Comparison Summary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560"/>
        <w:gridCol w:w="2400"/>
      </w:tblGrid>
      <w:tr>
        <w:trPr>
          <w:tblHeader/>
        </w:trPr>
        <w:tc>
          <w:tcPr>
            <w:tcW w:type="dxa" w:w="2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Model</w:t>
            </w:r>
          </w:p>
        </w:tc>
        <w:tc>
          <w:tcPr>
            <w:tcW w:type="dxa" w:w="1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Mean Revert</w:t>
            </w:r>
          </w:p>
        </w:tc>
        <w:tc>
          <w:tcPr>
            <w:tcW w:type="dxa" w:w="1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Jumps</w:t>
            </w:r>
          </w:p>
        </w:tc>
        <w:tc>
          <w:tcPr>
            <w:tcW w:type="dxa" w:w="15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Stoch. Vol</w:t>
            </w:r>
          </w:p>
        </w:tc>
        <w:tc>
          <w:tcPr>
            <w:tcW w:type="dxa" w:w="24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Best Use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GBM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Baseline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Ornstein-Uhlenbeck</w:t>
            </w:r>
          </w:p>
        </w:tc>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No</w:t>
            </w:r>
          </w:p>
        </w:tc>
        <w:tc>
          <w:tcPr>
            <w:tcW w:type="dxa" w:w="1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No</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Long-term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Merton Jump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Crisis events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Heston</w:t>
            </w:r>
          </w:p>
        </w:tc>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No</w:t>
            </w:r>
          </w:p>
        </w:tc>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No</w:t>
            </w:r>
          </w:p>
        </w:tc>
        <w:tc>
          <w:tcPr>
            <w:tcW w:type="dxa" w:w="1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Yes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Vol forecasting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Regime Switching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Partial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Partial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Scenario planning</w:t>
            </w:r>
          </w:p>
        </w:tc>
      </w:tr>
    </w:tbl>
    <w:p>
      <w:pPr>
        <w:spacing w:before="80" w:after="80"/>
      </w:pPr>
      <w:r>
        <w:t xml:space="preserve"/>
      </w:r>
    </w:p>
    <w:p>
      <w:r>
        <w:br w:type="page"/>
      </w:r>
    </w:p>
    <w:p>
      <w:pPr>
        <w:pStyle w:val="Heading1"/>
        <w:spacing w:before="360" w:after="200"/>
      </w:pPr>
      <w:r>
        <w:rPr>
          <w:rFonts w:ascii="Arial" w:cs="Arial" w:eastAsia="Arial" w:hAnsi="Arial"/>
          <w:b/>
          <w:bCs/>
          <w:color w:val="1A1A2E"/>
          <w:sz w:val="36"/>
          <w:szCs w:val="36"/>
        </w:rPr>
        <w:t xml:space="preserve">6. Simulation Engine</w:t>
      </w:r>
    </w:p>
    <w:p>
      <w:pPr>
        <w:pStyle w:val="Heading2"/>
        <w:pBdr>
          <w:bottom w:val="single" w:color="B8860B" w:sz="4" w:space="4"/>
        </w:pBdr>
        <w:spacing w:before="280" w:after="160"/>
      </w:pPr>
      <w:r>
        <w:rPr>
          <w:rFonts w:ascii="Arial" w:cs="Arial" w:eastAsia="Arial" w:hAnsi="Arial"/>
          <w:b/>
          <w:bCs/>
          <w:color w:val="1B4F8A"/>
          <w:sz w:val="28"/>
          <w:szCs w:val="28"/>
        </w:rPr>
        <w:t xml:space="preserve">6.1 Core Simulation Logic</w:t>
      </w:r>
    </w:p>
    <w:p>
      <w:pPr>
        <w:spacing w:before="80" w:after="120"/>
      </w:pPr>
      <w:r>
        <w:rPr>
          <w:rFonts w:ascii="Arial" w:cs="Arial" w:eastAsia="Arial" w:hAnsi="Arial"/>
          <w:sz w:val="22"/>
          <w:szCs w:val="22"/>
        </w:rPr>
        <w:t xml:space="preserve">The simulation engine generates thousands of possible gold price paths using any of the five stochastic models. Each path represents one possible future trajectory of the gold price.</w:t>
      </w:r>
    </w:p>
    <w:p>
      <w:pPr>
        <w:spacing w:before="80" w:after="80"/>
      </w:pPr>
      <w:r>
        <w:t xml:space="preserve"/>
      </w:r>
    </w:p>
    <w:p>
      <w:pPr>
        <w:spacing w:before="80" w:after="80"/>
        <w:ind w:left="720"/>
      </w:pPr>
      <w:r>
        <w:rPr>
          <w:rFonts w:ascii="Courier New" w:cs="Courier New" w:eastAsia="Courier New" w:hAnsi="Courier New"/>
          <w:color w:val="333333"/>
          <w:sz w:val="18"/>
          <w:szCs w:val="18"/>
        </w:rPr>
        <w:t xml:space="preserve">def simulate_gold_price(S0, model, n_simulations, n_days):</w:t>
      </w:r>
    </w:p>
    <w:p>
      <w:pPr>
        <w:spacing w:before="80" w:after="80"/>
        <w:ind w:left="720"/>
      </w:pPr>
      <w:r>
        <w:rPr>
          <w:rFonts w:ascii="Courier New" w:cs="Courier New" w:eastAsia="Courier New" w:hAnsi="Courier New"/>
          <w:color w:val="333333"/>
          <w:sz w:val="18"/>
          <w:szCs w:val="18"/>
        </w:rPr>
        <w:t xml:space="preserve">    paths = np.zeros((n_simulations, n_days))</w:t>
      </w:r>
    </w:p>
    <w:p>
      <w:pPr>
        <w:spacing w:before="80" w:after="80"/>
        <w:ind w:left="720"/>
      </w:pPr>
      <w:r>
        <w:rPr>
          <w:rFonts w:ascii="Courier New" w:cs="Courier New" w:eastAsia="Courier New" w:hAnsi="Courier New"/>
          <w:color w:val="333333"/>
          <w:sz w:val="18"/>
          <w:szCs w:val="18"/>
        </w:rPr>
        <w:t xml:space="preserve">    paths[:, 0] = S0</w:t>
      </w:r>
    </w:p>
    <w:p>
      <w:pPr>
        <w:spacing w:before="80" w:after="80"/>
        <w:ind w:left="720"/>
      </w:pPr>
      <w:r>
        <w:rPr>
          <w:rFonts w:ascii="Courier New" w:cs="Courier New" w:eastAsia="Courier New" w:hAnsi="Courier New"/>
          <w:color w:val="333333"/>
          <w:sz w:val="18"/>
          <w:szCs w:val="18"/>
        </w:rPr>
        <w:t xml:space="preserve">    </w:t>
      </w:r>
    </w:p>
    <w:p>
      <w:pPr>
        <w:spacing w:before="80" w:after="80"/>
        <w:ind w:left="720"/>
      </w:pPr>
      <w:r>
        <w:rPr>
          <w:rFonts w:ascii="Courier New" w:cs="Courier New" w:eastAsia="Courier New" w:hAnsi="Courier New"/>
          <w:color w:val="333333"/>
          <w:sz w:val="18"/>
          <w:szCs w:val="18"/>
        </w:rPr>
        <w:t xml:space="preserve">    for t in range(1, n_days):</w:t>
      </w:r>
    </w:p>
    <w:p>
      <w:pPr>
        <w:spacing w:before="80" w:after="80"/>
        <w:ind w:left="720"/>
      </w:pPr>
      <w:r>
        <w:rPr>
          <w:rFonts w:ascii="Courier New" w:cs="Courier New" w:eastAsia="Courier New" w:hAnsi="Courier New"/>
          <w:color w:val="333333"/>
          <w:sz w:val="18"/>
          <w:szCs w:val="18"/>
        </w:rPr>
        <w:t xml:space="preserve">        Z = np.random.normal(0, 1, n_simulations)</w:t>
      </w:r>
    </w:p>
    <w:p>
      <w:pPr>
        <w:spacing w:before="80" w:after="80"/>
        <w:ind w:left="720"/>
      </w:pPr>
      <w:r>
        <w:rPr>
          <w:rFonts w:ascii="Courier New" w:cs="Courier New" w:eastAsia="Courier New" w:hAnsi="Courier New"/>
          <w:color w:val="333333"/>
          <w:sz w:val="18"/>
          <w:szCs w:val="18"/>
        </w:rPr>
        <w:t xml:space="preserve">        paths[:, t] = model.step(paths[:, t-1], Z)</w:t>
      </w:r>
    </w:p>
    <w:p>
      <w:pPr>
        <w:spacing w:before="80" w:after="80"/>
        <w:ind w:left="720"/>
      </w:pPr>
      <w:r>
        <w:rPr>
          <w:rFonts w:ascii="Courier New" w:cs="Courier New" w:eastAsia="Courier New" w:hAnsi="Courier New"/>
          <w:color w:val="333333"/>
          <w:sz w:val="18"/>
          <w:szCs w:val="18"/>
        </w:rPr>
        <w:t xml:space="preserve">    </w:t>
      </w:r>
    </w:p>
    <w:p>
      <w:pPr>
        <w:spacing w:before="80" w:after="80"/>
        <w:ind w:left="720"/>
      </w:pPr>
      <w:r>
        <w:rPr>
          <w:rFonts w:ascii="Courier New" w:cs="Courier New" w:eastAsia="Courier New" w:hAnsi="Courier New"/>
          <w:color w:val="333333"/>
          <w:sz w:val="18"/>
          <w:szCs w:val="18"/>
        </w:rPr>
        <w:t xml:space="preserve">    return paths</w:t>
      </w:r>
    </w:p>
    <w:p>
      <w:pPr>
        <w:spacing w:before="80" w:after="80"/>
      </w:pPr>
      <w:r>
        <w:t xml:space="preserve"/>
      </w:r>
    </w:p>
    <w:p>
      <w:pPr>
        <w:pStyle w:val="Heading2"/>
        <w:pBdr>
          <w:bottom w:val="single" w:color="B8860B" w:sz="4" w:space="4"/>
        </w:pBdr>
        <w:spacing w:before="280" w:after="160"/>
      </w:pPr>
      <w:r>
        <w:rPr>
          <w:rFonts w:ascii="Arial" w:cs="Arial" w:eastAsia="Arial" w:hAnsi="Arial"/>
          <w:b/>
          <w:bCs/>
          <w:color w:val="1B4F8A"/>
          <w:sz w:val="28"/>
          <w:szCs w:val="28"/>
        </w:rPr>
        <w:t xml:space="preserve">6.2 Performance Optimization</w:t>
      </w:r>
    </w:p>
    <w:p>
      <w:pPr>
        <w:spacing w:before="80" w:after="120"/>
      </w:pPr>
      <w:r>
        <w:rPr>
          <w:rFonts w:ascii="Arial" w:cs="Arial" w:eastAsia="Arial" w:hAnsi="Arial"/>
          <w:sz w:val="22"/>
          <w:szCs w:val="22"/>
        </w:rPr>
        <w:t xml:space="preserve">Running 10,000+ simulations requires careful optimization. The engine uses three techniques to achieve high performance:</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Numba JIT Compilation — decorating core functions with @numba.jit(nopython=True) provides 10-100x speed improvements over pure Python</w:t>
      </w:r>
    </w:p>
    <w:p>
      <w:pPr>
        <w:pStyle w:val="ListParagraph"/>
        <w:numPr>
          <w:ilvl w:val="0"/>
          <w:numId w:val="2"/>
        </w:numPr>
        <w:spacing w:before="60" w:after="60"/>
      </w:pPr>
      <w:r>
        <w:rPr>
          <w:rFonts w:ascii="Arial" w:cs="Arial" w:eastAsia="Arial" w:hAnsi="Arial"/>
          <w:sz w:val="22"/>
          <w:szCs w:val="22"/>
        </w:rPr>
        <w:t xml:space="preserve">NumPy Vectorization — replacing Python loops with NumPy array operations eliminates per-iteration overhead</w:t>
      </w:r>
    </w:p>
    <w:p>
      <w:pPr>
        <w:pStyle w:val="ListParagraph"/>
        <w:numPr>
          <w:ilvl w:val="0"/>
          <w:numId w:val="2"/>
        </w:numPr>
        <w:spacing w:before="60" w:after="60"/>
      </w:pPr>
      <w:r>
        <w:rPr>
          <w:rFonts w:ascii="Arial" w:cs="Arial" w:eastAsia="Arial" w:hAnsi="Arial"/>
          <w:sz w:val="22"/>
          <w:szCs w:val="22"/>
        </w:rPr>
        <w:t xml:space="preserve">Multiprocessing — distributing simulations across CPU cores using Python's multiprocessing.Pool</w:t>
      </w:r>
    </w:p>
    <w:p>
      <w:pPr>
        <w:spacing w:before="80" w:after="80"/>
      </w:pPr>
      <w:r>
        <w:t xml:space="preserve"/>
      </w:r>
    </w:p>
    <w:p>
      <w:pPr>
        <w:pStyle w:val="Heading1"/>
        <w:spacing w:before="360" w:after="200"/>
      </w:pPr>
      <w:r>
        <w:rPr>
          <w:rFonts w:ascii="Arial" w:cs="Arial" w:eastAsia="Arial" w:hAnsi="Arial"/>
          <w:b/>
          <w:bCs/>
          <w:color w:val="1A1A2E"/>
          <w:sz w:val="36"/>
          <w:szCs w:val="36"/>
        </w:rPr>
        <w:t xml:space="preserve">7. Risk &amp; Statistics Module</w:t>
      </w:r>
    </w:p>
    <w:p>
      <w:pPr>
        <w:pStyle w:val="Heading2"/>
        <w:pBdr>
          <w:bottom w:val="single" w:color="B8860B" w:sz="4" w:space="4"/>
        </w:pBdr>
        <w:spacing w:before="280" w:after="160"/>
      </w:pPr>
      <w:r>
        <w:rPr>
          <w:rFonts w:ascii="Arial" w:cs="Arial" w:eastAsia="Arial" w:hAnsi="Arial"/>
          <w:b/>
          <w:bCs/>
          <w:color w:val="1B4F8A"/>
          <w:sz w:val="28"/>
          <w:szCs w:val="28"/>
        </w:rPr>
        <w:t xml:space="preserve">7.1 Output Metrics</w:t>
      </w:r>
    </w:p>
    <w:p>
      <w:pPr>
        <w:spacing w:before="80" w:after="120"/>
      </w:pPr>
      <w:r>
        <w:rPr>
          <w:rFonts w:ascii="Arial" w:cs="Arial" w:eastAsia="Arial" w:hAnsi="Arial"/>
          <w:sz w:val="22"/>
          <w:szCs w:val="22"/>
        </w:rPr>
        <w:t xml:space="preserve">For each prediction horizon (7 days, 30 days, 90 days, 1 year), the risk module calculates the following statistics from the simulation results: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Formula</w:t>
            </w:r>
          </w:p>
        </w:tc>
        <w:tc>
          <w:tcPr>
            <w:tcW w:type="dxa" w:w="33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Interpretation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Expected Price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Mean of all final prices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Most likely outcome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90% Confidence Interval</w:t>
            </w:r>
          </w:p>
        </w:tc>
        <w:tc>
          <w:tcPr>
            <w:tcW w:type="dxa" w:w="3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5th to 95th percentile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90% of outcomes fall here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95% Confidence Interval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2.5th to 97.5th percentile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95% of outcomes fall here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VaR 95%</w:t>
            </w:r>
          </w:p>
        </w:tc>
        <w:tc>
          <w:tcPr>
            <w:tcW w:type="dxa" w:w="3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5th percentile of losses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Worst 5% of scenarios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CVaR (Expected Shortfall)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Mean of worst 5% losses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Average of extreme losses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Probability of Gain</w:t>
            </w:r>
          </w:p>
        </w:tc>
        <w:tc>
          <w:tcPr>
            <w:tcW w:type="dxa" w:w="3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P(S_T &gt; S_0)</w:t>
            </w:r>
          </w:p>
        </w:tc>
        <w:tc>
          <w:tcPr>
            <w:tcW w:type="dxa" w:w="3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Chance price increases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Max Drawdown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Worst peak-to-trough drop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Maximum simulated loss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Sharpe Ratio</w:t>
            </w:r>
          </w:p>
        </w:tc>
        <w:tc>
          <w:tcPr>
            <w:tcW w:type="dxa" w:w="3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Return / Volatility</w:t>
            </w:r>
          </w:p>
        </w:tc>
        <w:tc>
          <w:tcPr>
            <w:tcW w:type="dxa" w:w="3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Risk-adjusted return</w:t>
            </w:r>
          </w:p>
        </w:tc>
      </w:tr>
    </w:tbl>
    <w:p>
      <w:pPr>
        <w:spacing w:before="80" w:after="80"/>
      </w:pPr>
      <w:r>
        <w:t xml:space="preserve"/>
      </w:r>
    </w:p>
    <w:p>
      <w:pPr>
        <w:pStyle w:val="Heading1"/>
        <w:spacing w:before="360" w:after="200"/>
      </w:pPr>
      <w:r>
        <w:rPr>
          <w:rFonts w:ascii="Arial" w:cs="Arial" w:eastAsia="Arial" w:hAnsi="Arial"/>
          <w:b/>
          <w:bCs/>
          <w:color w:val="1A1A2E"/>
          <w:sz w:val="36"/>
          <w:szCs w:val="36"/>
        </w:rPr>
        <w:t xml:space="preserve">8. Validation &amp; Backtesting</w:t>
      </w:r>
    </w:p>
    <w:p>
      <w:pPr>
        <w:pStyle w:val="Heading2"/>
        <w:pBdr>
          <w:bottom w:val="single" w:color="B8860B" w:sz="4" w:space="4"/>
        </w:pBdr>
        <w:spacing w:before="280" w:after="160"/>
      </w:pPr>
      <w:r>
        <w:rPr>
          <w:rFonts w:ascii="Arial" w:cs="Arial" w:eastAsia="Arial" w:hAnsi="Arial"/>
          <w:b/>
          <w:bCs/>
          <w:color w:val="1B4F8A"/>
          <w:sz w:val="28"/>
          <w:szCs w:val="28"/>
        </w:rPr>
        <w:t xml:space="preserve">8.1 Walk-Forward Testing Methodology</w:t>
      </w:r>
    </w:p>
    <w:p>
      <w:pPr>
        <w:spacing w:before="80" w:after="120"/>
      </w:pPr>
      <w:r>
        <w:rPr>
          <w:rFonts w:ascii="Arial" w:cs="Arial" w:eastAsia="Arial" w:hAnsi="Arial"/>
          <w:sz w:val="22"/>
          <w:szCs w:val="22"/>
        </w:rPr>
        <w:t xml:space="preserve">Backtesting measures how well the models would have performed on historical data. Walk-forward testing is the most rigorous approach, ensuring the model never 'sees' future data during training.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r>
              <w:rPr>
                <w:rFonts w:ascii="Arial" w:cs="Arial" w:eastAsia="Arial" w:hAnsi="Arial"/>
                <w:b/>
                <w:bCs/>
                <w:color w:val="FFFFFF"/>
                <w:sz w:val="22"/>
                <w:szCs w:val="22"/>
              </w:rPr>
              <w:t xml:space="preserve">Walk-Forward Test Setup</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  Training Set:   2015 - 2022  (used to calibrate model parameters)</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  Validation Set: 2023 - 2024  (used to tune hyperparameters)</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  Test Set:       2025         (final holdout, never touched during development)</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  </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  Window: Rolling 252-day training windows (1 trading year)</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  Forecast: 30-day ahead predictions evaluated monthly</w:t>
            </w:r>
          </w:p>
        </w:tc>
      </w:tr>
    </w:tbl>
    <w:p>
      <w:pPr>
        <w:spacing w:before="80" w:after="80"/>
      </w:pPr>
      <w:r>
        <w:t xml:space="preserve"/>
      </w:r>
    </w:p>
    <w:p>
      <w:pPr>
        <w:pStyle w:val="Heading2"/>
        <w:pBdr>
          <w:bottom w:val="single" w:color="B8860B" w:sz="4" w:space="4"/>
        </w:pBdr>
        <w:spacing w:before="280" w:after="160"/>
      </w:pPr>
      <w:r>
        <w:rPr>
          <w:rFonts w:ascii="Arial" w:cs="Arial" w:eastAsia="Arial" w:hAnsi="Arial"/>
          <w:b/>
          <w:bCs/>
          <w:color w:val="1B4F8A"/>
          <w:sz w:val="28"/>
          <w:szCs w:val="28"/>
        </w:rPr>
        <w:t xml:space="preserve">8.2 Accuracy Metrics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60"/>
        <w:gridCol w:w="3000"/>
      </w:tblGrid>
      <w:tr>
        <w:trPr>
          <w:tblHeader/>
        </w:trPr>
        <w:tc>
          <w:tcPr>
            <w:tcW w:type="dxa" w:w="25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38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Formula</w:t>
            </w:r>
          </w:p>
        </w:tc>
        <w:tc>
          <w:tcPr>
            <w:tcW w:type="dxa" w:w="3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RMSE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sqrt(mean((pred - actual)^2))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Lower is better</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MAE</w:t>
            </w:r>
          </w:p>
        </w:tc>
        <w:tc>
          <w:tcPr>
            <w:tcW w:type="dxa" w:w="38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mean(|pred - actual|)</w:t>
            </w:r>
          </w:p>
        </w:tc>
        <w:tc>
          <w:tcPr>
            <w:tcW w:type="dxa" w:w="3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Lower is better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MAPE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mean(|error / actual|) x 100%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&lt; 5% is good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Coverage</w:t>
            </w:r>
          </w:p>
        </w:tc>
        <w:tc>
          <w:tcPr>
            <w:tcW w:type="dxa" w:w="38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 actual inside CI</w:t>
            </w:r>
          </w:p>
        </w:tc>
        <w:tc>
          <w:tcPr>
            <w:tcW w:type="dxa" w:w="3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Should be ~95%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Directional Accuracy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correct up/down calls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&gt; 55% is good</w:t>
            </w:r>
          </w:p>
        </w:tc>
      </w:tr>
    </w:tbl>
    <w:p>
      <w:pPr>
        <w:spacing w:before="80" w:after="80"/>
      </w:pPr>
      <w:r>
        <w:t xml:space="preserve"/>
      </w:r>
    </w:p>
    <w:p>
      <w:r>
        <w:br w:type="page"/>
      </w:r>
    </w:p>
    <w:p>
      <w:pPr>
        <w:pStyle w:val="Heading1"/>
        <w:spacing w:before="360" w:after="200"/>
      </w:pPr>
      <w:r>
        <w:rPr>
          <w:rFonts w:ascii="Arial" w:cs="Arial" w:eastAsia="Arial" w:hAnsi="Arial"/>
          <w:b/>
          <w:bCs/>
          <w:color w:val="1A1A2E"/>
          <w:sz w:val="36"/>
          <w:szCs w:val="36"/>
        </w:rPr>
        <w:t xml:space="preserve">9. Web Interface — Streamlit Dashboard</w:t>
      </w:r>
    </w:p>
    <w:p>
      <w:pPr>
        <w:pStyle w:val="Heading2"/>
        <w:pBdr>
          <w:bottom w:val="single" w:color="B8860B" w:sz="4" w:space="4"/>
        </w:pBdr>
        <w:spacing w:before="280" w:after="160"/>
      </w:pPr>
      <w:r>
        <w:rPr>
          <w:rFonts w:ascii="Arial" w:cs="Arial" w:eastAsia="Arial" w:hAnsi="Arial"/>
          <w:b/>
          <w:bCs/>
          <w:color w:val="1B4F8A"/>
          <w:sz w:val="28"/>
          <w:szCs w:val="28"/>
        </w:rPr>
        <w:t xml:space="preserve">9.1 Dashboard Pages</w:t>
      </w:r>
    </w:p>
    <w:p>
      <w:pPr>
        <w:spacing w:before="80" w:after="120"/>
      </w:pPr>
      <w:r>
        <w:rPr>
          <w:rFonts w:ascii="Arial" w:cs="Arial" w:eastAsia="Arial" w:hAnsi="Arial"/>
          <w:sz w:val="22"/>
          <w:szCs w:val="22"/>
        </w:rPr>
        <w:t xml:space="preserve">The Streamlit application provides an interactive, user-friendly interface for running simulations and visualizing results without writing any code.</w:t>
      </w:r>
    </w:p>
    <w:p>
      <w:pPr>
        <w:spacing w:before="80" w:after="80"/>
      </w:pPr>
      <w:r>
        <w:t xml:space="preserve"/>
      </w:r>
    </w:p>
    <w:p>
      <w:pPr>
        <w:pStyle w:val="Heading3"/>
        <w:spacing w:before="200" w:after="120"/>
      </w:pPr>
      <w:r>
        <w:rPr>
          <w:rFonts w:ascii="Arial" w:cs="Arial" w:eastAsia="Arial" w:hAnsi="Arial"/>
          <w:b/>
          <w:bCs/>
          <w:color w:val="1A1A2E"/>
          <w:sz w:val="24"/>
          <w:szCs w:val="24"/>
        </w:rPr>
        <w:t xml:space="preserve">Page 1 — Input Parameters</w:t>
      </w:r>
    </w:p>
    <w:p>
      <w:pPr>
        <w:pStyle w:val="ListParagraph"/>
        <w:numPr>
          <w:ilvl w:val="0"/>
          <w:numId w:val="2"/>
        </w:numPr>
        <w:spacing w:before="60" w:after="60"/>
      </w:pPr>
      <w:r>
        <w:rPr>
          <w:rFonts w:ascii="Arial" w:cs="Arial" w:eastAsia="Arial" w:hAnsi="Arial"/>
          <w:sz w:val="22"/>
          <w:szCs w:val="22"/>
        </w:rPr>
        <w:t xml:space="preserve">Auto-fetch current gold price from live market data</w:t>
      </w:r>
    </w:p>
    <w:p>
      <w:pPr>
        <w:pStyle w:val="ListParagraph"/>
        <w:numPr>
          <w:ilvl w:val="0"/>
          <w:numId w:val="2"/>
        </w:numPr>
        <w:spacing w:before="60" w:after="60"/>
      </w:pPr>
      <w:r>
        <w:rPr>
          <w:rFonts w:ascii="Arial" w:cs="Arial" w:eastAsia="Arial" w:hAnsi="Arial"/>
          <w:sz w:val="22"/>
          <w:szCs w:val="22"/>
        </w:rPr>
        <w:t xml:space="preserve">Prediction horizon selector: 7 days / 30 days / 90 days / 1 year</w:t>
      </w:r>
    </w:p>
    <w:p>
      <w:pPr>
        <w:pStyle w:val="ListParagraph"/>
        <w:numPr>
          <w:ilvl w:val="0"/>
          <w:numId w:val="2"/>
        </w:numPr>
        <w:spacing w:before="60" w:after="60"/>
      </w:pPr>
      <w:r>
        <w:rPr>
          <w:rFonts w:ascii="Arial" w:cs="Arial" w:eastAsia="Arial" w:hAnsi="Arial"/>
          <w:sz w:val="22"/>
          <w:szCs w:val="22"/>
        </w:rPr>
        <w:t xml:space="preserve">Model selection dropdown (GBM, OU, Heston, Merton, Regime)</w:t>
      </w:r>
    </w:p>
    <w:p>
      <w:pPr>
        <w:pStyle w:val="ListParagraph"/>
        <w:numPr>
          <w:ilvl w:val="0"/>
          <w:numId w:val="2"/>
        </w:numPr>
        <w:spacing w:before="60" w:after="60"/>
      </w:pPr>
      <w:r>
        <w:rPr>
          <w:rFonts w:ascii="Arial" w:cs="Arial" w:eastAsia="Arial" w:hAnsi="Arial"/>
          <w:sz w:val="22"/>
          <w:szCs w:val="22"/>
        </w:rPr>
        <w:t xml:space="preserve">Number of simulations slider (1,000 to 100,000)</w:t>
      </w:r>
    </w:p>
    <w:p>
      <w:pPr>
        <w:pStyle w:val="ListParagraph"/>
        <w:numPr>
          <w:ilvl w:val="0"/>
          <w:numId w:val="2"/>
        </w:numPr>
        <w:spacing w:before="60" w:after="60"/>
      </w:pPr>
      <w:r>
        <w:rPr>
          <w:rFonts w:ascii="Arial" w:cs="Arial" w:eastAsia="Arial" w:hAnsi="Arial"/>
          <w:sz w:val="22"/>
          <w:szCs w:val="22"/>
        </w:rPr>
        <w:t xml:space="preserve">Manual override for volatility and drift parameters</w:t>
      </w:r>
    </w:p>
    <w:p>
      <w:pPr>
        <w:spacing w:before="80" w:after="80"/>
      </w:pPr>
      <w:r>
        <w:t xml:space="preserve"/>
      </w:r>
    </w:p>
    <w:p>
      <w:pPr>
        <w:pStyle w:val="Heading3"/>
        <w:spacing w:before="200" w:after="120"/>
      </w:pPr>
      <w:r>
        <w:rPr>
          <w:rFonts w:ascii="Arial" w:cs="Arial" w:eastAsia="Arial" w:hAnsi="Arial"/>
          <w:b/>
          <w:bCs/>
          <w:color w:val="1A1A2E"/>
          <w:sz w:val="24"/>
          <w:szCs w:val="24"/>
        </w:rPr>
        <w:t xml:space="preserve">Page 2 — Simulation Results</w:t>
      </w:r>
    </w:p>
    <w:p>
      <w:pPr>
        <w:pStyle w:val="ListParagraph"/>
        <w:numPr>
          <w:ilvl w:val="0"/>
          <w:numId w:val="2"/>
        </w:numPr>
        <w:spacing w:before="60" w:after="60"/>
      </w:pPr>
      <w:r>
        <w:rPr>
          <w:rFonts w:ascii="Arial" w:cs="Arial" w:eastAsia="Arial" w:hAnsi="Arial"/>
          <w:sz w:val="22"/>
          <w:szCs w:val="22"/>
        </w:rPr>
        <w:t xml:space="preserve">Fan chart showing all simulated price paths</w:t>
      </w:r>
    </w:p>
    <w:p>
      <w:pPr>
        <w:pStyle w:val="ListParagraph"/>
        <w:numPr>
          <w:ilvl w:val="0"/>
          <w:numId w:val="2"/>
        </w:numPr>
        <w:spacing w:before="60" w:after="60"/>
      </w:pPr>
      <w:r>
        <w:rPr>
          <w:rFonts w:ascii="Arial" w:cs="Arial" w:eastAsia="Arial" w:hAnsi="Arial"/>
          <w:sz w:val="22"/>
          <w:szCs w:val="22"/>
        </w:rPr>
        <w:t xml:space="preserve">Confidence bands: 50%, 90%, 95% shaded regions</w:t>
      </w:r>
    </w:p>
    <w:p>
      <w:pPr>
        <w:pStyle w:val="ListParagraph"/>
        <w:numPr>
          <w:ilvl w:val="0"/>
          <w:numId w:val="2"/>
        </w:numPr>
        <w:spacing w:before="60" w:after="60"/>
      </w:pPr>
      <w:r>
        <w:rPr>
          <w:rFonts w:ascii="Arial" w:cs="Arial" w:eastAsia="Arial" w:hAnsi="Arial"/>
          <w:sz w:val="22"/>
          <w:szCs w:val="22"/>
        </w:rPr>
        <w:t xml:space="preserve">Expected price line with annotated final value</w:t>
      </w:r>
    </w:p>
    <w:p>
      <w:pPr>
        <w:pStyle w:val="ListParagraph"/>
        <w:numPr>
          <w:ilvl w:val="0"/>
          <w:numId w:val="2"/>
        </w:numPr>
        <w:spacing w:before="60" w:after="60"/>
      </w:pPr>
      <w:r>
        <w:rPr>
          <w:rFonts w:ascii="Arial" w:cs="Arial" w:eastAsia="Arial" w:hAnsi="Arial"/>
          <w:sz w:val="22"/>
          <w:szCs w:val="22"/>
        </w:rPr>
        <w:t xml:space="preserve">Probability distribution histogram of final prices</w:t>
      </w:r>
    </w:p>
    <w:p>
      <w:pPr>
        <w:spacing w:before="80" w:after="80"/>
      </w:pPr>
      <w:r>
        <w:t xml:space="preserve"/>
      </w:r>
    </w:p>
    <w:p>
      <w:pPr>
        <w:pStyle w:val="Heading3"/>
        <w:spacing w:before="200" w:after="120"/>
      </w:pPr>
      <w:r>
        <w:rPr>
          <w:rFonts w:ascii="Arial" w:cs="Arial" w:eastAsia="Arial" w:hAnsi="Arial"/>
          <w:b/>
          <w:bCs/>
          <w:color w:val="1A1A2E"/>
          <w:sz w:val="24"/>
          <w:szCs w:val="24"/>
        </w:rPr>
        <w:t xml:space="preserve">Page 3 — Risk Analysis</w:t>
      </w:r>
    </w:p>
    <w:p>
      <w:pPr>
        <w:pStyle w:val="ListParagraph"/>
        <w:numPr>
          <w:ilvl w:val="0"/>
          <w:numId w:val="2"/>
        </w:numPr>
        <w:spacing w:before="60" w:after="60"/>
      </w:pPr>
      <w:r>
        <w:rPr>
          <w:rFonts w:ascii="Arial" w:cs="Arial" w:eastAsia="Arial" w:hAnsi="Arial"/>
          <w:sz w:val="22"/>
          <w:szCs w:val="22"/>
        </w:rPr>
        <w:t xml:space="preserve">Value at Risk (VaR) and Conditional VaR (CVaR) display</w:t>
      </w:r>
    </w:p>
    <w:p>
      <w:pPr>
        <w:pStyle w:val="ListParagraph"/>
        <w:numPr>
          <w:ilvl w:val="0"/>
          <w:numId w:val="2"/>
        </w:numPr>
        <w:spacing w:before="60" w:after="60"/>
      </w:pPr>
      <w:r>
        <w:rPr>
          <w:rFonts w:ascii="Arial" w:cs="Arial" w:eastAsia="Arial" w:hAnsi="Arial"/>
          <w:sz w:val="22"/>
          <w:szCs w:val="22"/>
        </w:rPr>
        <w:t xml:space="preserve">Best case / worst case / expected scenario table</w:t>
      </w:r>
    </w:p>
    <w:p>
      <w:pPr>
        <w:pStyle w:val="ListParagraph"/>
        <w:numPr>
          <w:ilvl w:val="0"/>
          <w:numId w:val="2"/>
        </w:numPr>
        <w:spacing w:before="60" w:after="60"/>
      </w:pPr>
      <w:r>
        <w:rPr>
          <w:rFonts w:ascii="Arial" w:cs="Arial" w:eastAsia="Arial" w:hAnsi="Arial"/>
          <w:sz w:val="22"/>
          <w:szCs w:val="22"/>
        </w:rPr>
        <w:t xml:space="preserve">Probability of reaching user-defined price targets</w:t>
      </w:r>
    </w:p>
    <w:p>
      <w:pPr>
        <w:pStyle w:val="ListParagraph"/>
        <w:numPr>
          <w:ilvl w:val="0"/>
          <w:numId w:val="2"/>
        </w:numPr>
        <w:spacing w:before="60" w:after="60"/>
      </w:pPr>
      <w:r>
        <w:rPr>
          <w:rFonts w:ascii="Arial" w:cs="Arial" w:eastAsia="Arial" w:hAnsi="Arial"/>
          <w:sz w:val="22"/>
          <w:szCs w:val="22"/>
        </w:rPr>
        <w:t xml:space="preserve">Stress test results under crisis scenarios</w:t>
      </w:r>
    </w:p>
    <w:p>
      <w:pPr>
        <w:spacing w:before="80" w:after="80"/>
      </w:pPr>
      <w:r>
        <w:t xml:space="preserve"/>
      </w:r>
    </w:p>
    <w:p>
      <w:pPr>
        <w:pStyle w:val="Heading3"/>
        <w:spacing w:before="200" w:after="120"/>
      </w:pPr>
      <w:r>
        <w:rPr>
          <w:rFonts w:ascii="Arial" w:cs="Arial" w:eastAsia="Arial" w:hAnsi="Arial"/>
          <w:b/>
          <w:bCs/>
          <w:color w:val="1A1A2E"/>
          <w:sz w:val="24"/>
          <w:szCs w:val="24"/>
        </w:rPr>
        <w:t xml:space="preserve">Page 4 — Backtesting Results</w:t>
      </w:r>
    </w:p>
    <w:p>
      <w:pPr>
        <w:pStyle w:val="ListParagraph"/>
        <w:numPr>
          <w:ilvl w:val="0"/>
          <w:numId w:val="2"/>
        </w:numPr>
        <w:spacing w:before="60" w:after="60"/>
      </w:pPr>
      <w:r>
        <w:rPr>
          <w:rFonts w:ascii="Arial" w:cs="Arial" w:eastAsia="Arial" w:hAnsi="Arial"/>
          <w:sz w:val="22"/>
          <w:szCs w:val="22"/>
        </w:rPr>
        <w:t xml:space="preserve">Historical accuracy chart for each model</w:t>
      </w:r>
    </w:p>
    <w:p>
      <w:pPr>
        <w:pStyle w:val="ListParagraph"/>
        <w:numPr>
          <w:ilvl w:val="0"/>
          <w:numId w:val="2"/>
        </w:numPr>
        <w:spacing w:before="60" w:after="60"/>
      </w:pPr>
      <w:r>
        <w:rPr>
          <w:rFonts w:ascii="Arial" w:cs="Arial" w:eastAsia="Arial" w:hAnsi="Arial"/>
          <w:sz w:val="22"/>
          <w:szCs w:val="22"/>
        </w:rPr>
        <w:t xml:space="preserve">Side-by-side model comparison table</w:t>
      </w:r>
    </w:p>
    <w:p>
      <w:pPr>
        <w:pStyle w:val="ListParagraph"/>
        <w:numPr>
          <w:ilvl w:val="0"/>
          <w:numId w:val="2"/>
        </w:numPr>
        <w:spacing w:before="60" w:after="60"/>
      </w:pPr>
      <w:r>
        <w:rPr>
          <w:rFonts w:ascii="Arial" w:cs="Arial" w:eastAsia="Arial" w:hAnsi="Arial"/>
          <w:sz w:val="22"/>
          <w:szCs w:val="22"/>
        </w:rPr>
        <w:t xml:space="preserve">Confidence interval coverage analysis</w:t>
      </w:r>
    </w:p>
    <w:p>
      <w:pPr>
        <w:spacing w:before="80" w:after="80"/>
      </w:pPr>
      <w:r>
        <w:t xml:space="preserve"/>
      </w:r>
    </w:p>
    <w:p>
      <w:pPr>
        <w:pStyle w:val="Heading3"/>
        <w:spacing w:before="200" w:after="120"/>
      </w:pPr>
      <w:r>
        <w:rPr>
          <w:rFonts w:ascii="Arial" w:cs="Arial" w:eastAsia="Arial" w:hAnsi="Arial"/>
          <w:b/>
          <w:bCs/>
          <w:color w:val="1A1A2E"/>
          <w:sz w:val="24"/>
          <w:szCs w:val="24"/>
        </w:rPr>
        <w:t xml:space="preserve">Page 5 — Market Dashboard</w:t>
      </w:r>
    </w:p>
    <w:p>
      <w:pPr>
        <w:pStyle w:val="ListParagraph"/>
        <w:numPr>
          <w:ilvl w:val="0"/>
          <w:numId w:val="2"/>
        </w:numPr>
        <w:spacing w:before="60" w:after="60"/>
      </w:pPr>
      <w:r>
        <w:rPr>
          <w:rFonts w:ascii="Arial" w:cs="Arial" w:eastAsia="Arial" w:hAnsi="Arial"/>
          <w:sz w:val="22"/>
          <w:szCs w:val="22"/>
        </w:rPr>
        <w:t xml:space="preserve">Live gold price and 24h change</w:t>
      </w:r>
    </w:p>
    <w:p>
      <w:pPr>
        <w:pStyle w:val="ListParagraph"/>
        <w:numPr>
          <w:ilvl w:val="0"/>
          <w:numId w:val="2"/>
        </w:numPr>
        <w:spacing w:before="60" w:after="60"/>
      </w:pPr>
      <w:r>
        <w:rPr>
          <w:rFonts w:ascii="Arial" w:cs="Arial" w:eastAsia="Arial" w:hAnsi="Arial"/>
          <w:sz w:val="22"/>
          <w:szCs w:val="22"/>
        </w:rPr>
        <w:t xml:space="preserve">Key macro indicators: USD index, inflation, rates, VIX</w:t>
      </w:r>
    </w:p>
    <w:p>
      <w:pPr>
        <w:pStyle w:val="ListParagraph"/>
        <w:numPr>
          <w:ilvl w:val="0"/>
          <w:numId w:val="2"/>
        </w:numPr>
        <w:spacing w:before="60" w:after="60"/>
      </w:pPr>
      <w:r>
        <w:rPr>
          <w:rFonts w:ascii="Arial" w:cs="Arial" w:eastAsia="Arial" w:hAnsi="Arial"/>
          <w:sz w:val="22"/>
          <w:szCs w:val="22"/>
        </w:rPr>
        <w:t xml:space="preserve">Correlation heatmap: gold vs macro factors</w:t>
      </w:r>
    </w:p>
    <w:p>
      <w:pPr>
        <w:pStyle w:val="ListParagraph"/>
        <w:numPr>
          <w:ilvl w:val="0"/>
          <w:numId w:val="2"/>
        </w:numPr>
        <w:spacing w:before="60" w:after="60"/>
      </w:pPr>
      <w:r>
        <w:rPr>
          <w:rFonts w:ascii="Arial" w:cs="Arial" w:eastAsia="Arial" w:hAnsi="Arial"/>
          <w:sz w:val="22"/>
          <w:szCs w:val="22"/>
        </w:rPr>
        <w:t xml:space="preserve">Recent news impact annotations on price chart</w:t>
      </w:r>
    </w:p>
    <w:p>
      <w:pPr>
        <w:spacing w:before="80" w:after="80"/>
      </w:pPr>
      <w:r>
        <w:t xml:space="preserve"/>
      </w:r>
    </w:p>
    <w:p>
      <w:pPr>
        <w:pStyle w:val="Heading1"/>
        <w:spacing w:before="360" w:after="200"/>
      </w:pPr>
      <w:r>
        <w:rPr>
          <w:rFonts w:ascii="Arial" w:cs="Arial" w:eastAsia="Arial" w:hAnsi="Arial"/>
          <w:b/>
          <w:bCs/>
          <w:color w:val="1A1A2E"/>
          <w:sz w:val="36"/>
          <w:szCs w:val="36"/>
        </w:rPr>
        <w:t xml:space="preserve">10. Development Timeline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3000"/>
        <w:gridCol w:w="2400"/>
      </w:tblGrid>
      <w:tr>
        <w:trPr>
          <w:tblHeader/>
        </w:trPr>
        <w:tc>
          <w:tcPr>
            <w:tcW w:type="dxa" w:w="144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w:t>
            </w:r>
          </w:p>
        </w:tc>
        <w:tc>
          <w:tcPr>
            <w:tcW w:type="dxa" w:w="252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Task</w:t>
            </w:r>
          </w:p>
        </w:tc>
        <w:tc>
          <w:tcPr>
            <w:tcW w:type="dxa" w:w="3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Deliverable</w:t>
            </w:r>
          </w:p>
        </w:tc>
        <w:tc>
          <w:tcPr>
            <w:tcW w:type="dxa" w:w="24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Duration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Research &amp; Setup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Gold drivers analysis, repo setup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Week 1-2</w:t>
            </w:r>
          </w:p>
        </w:tc>
      </w:tr>
      <w:tr>
        <w:tc>
          <w:tcPr>
            <w:tcW w:type="dxa" w:w="14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2</w:t>
            </w:r>
          </w:p>
        </w:tc>
        <w:tc>
          <w:tcPr>
            <w:tcW w:type="dxa" w:w="252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Data Pipeline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fetcher.py, cleaner.py, features.py</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Week 2-3</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Core Models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All 5 stochastic model files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Week 3-5</w:t>
            </w:r>
          </w:p>
        </w:tc>
      </w:tr>
      <w:tr>
        <w:tc>
          <w:tcPr>
            <w:tcW w:type="dxa" w:w="14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4</w:t>
            </w:r>
          </w:p>
        </w:tc>
        <w:tc>
          <w:tcPr>
            <w:tcW w:type="dxa" w:w="252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Simulation Engine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engine.py, aggregator.py</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Week 5-6</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Risk Module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var.py, metrics.py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Week 6-7</w:t>
            </w:r>
          </w:p>
        </w:tc>
      </w:tr>
      <w:tr>
        <w:tc>
          <w:tcPr>
            <w:tcW w:type="dxa" w:w="14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6</w:t>
            </w:r>
          </w:p>
        </w:tc>
        <w:tc>
          <w:tcPr>
            <w:tcW w:type="dxa" w:w="252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Backtesting</w:t>
            </w:r>
          </w:p>
        </w:tc>
        <w:tc>
          <w:tcPr>
            <w:tcW w:type="dxa" w:w="3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backtester.py, comparison.py</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Week 7-8</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Web Interface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Full Streamlit app.py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Week 8-9</w:t>
            </w:r>
          </w:p>
        </w:tc>
      </w:tr>
      <w:tr>
        <w:tc>
          <w:tcPr>
            <w:tcW w:type="dxa" w:w="14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8</w:t>
            </w:r>
          </w:p>
        </w:tc>
        <w:tc>
          <w:tcPr>
            <w:tcW w:type="dxa" w:w="252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Optimization</w:t>
            </w:r>
          </w:p>
        </w:tc>
        <w:tc>
          <w:tcPr>
            <w:tcW w:type="dxa" w:w="3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Numba JIT, vectorization, tests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Week 9-10</w:t>
            </w:r>
          </w:p>
        </w:tc>
      </w:tr>
    </w:tbl>
    <w:p>
      <w:pPr>
        <w:spacing w:before="80" w:after="80"/>
      </w:pPr>
      <w:r>
        <w:t xml:space="preserve"/>
      </w:r>
    </w:p>
    <w:p>
      <w:pPr>
        <w:pStyle w:val="Heading1"/>
        <w:spacing w:before="360" w:after="200"/>
      </w:pPr>
      <w:r>
        <w:rPr>
          <w:rFonts w:ascii="Arial" w:cs="Arial" w:eastAsia="Arial" w:hAnsi="Arial"/>
          <w:b/>
          <w:bCs/>
          <w:color w:val="1A1A2E"/>
          <w:sz w:val="36"/>
          <w:szCs w:val="36"/>
        </w:rPr>
        <w:t xml:space="preserve">11. Technology Stack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Library</w:t>
            </w:r>
          </w:p>
        </w:tc>
        <w:tc>
          <w:tcPr>
            <w:tcW w:type="dxa" w:w="3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c>
          <w:tcPr>
            <w:tcW w:type="dxa" w:w="35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Install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Python 3.10+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Core language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python.org</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NumPy / Pandas</w:t>
            </w:r>
          </w:p>
        </w:tc>
        <w:tc>
          <w:tcPr>
            <w:tcW w:type="dxa" w:w="3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Numerical computing &amp; data</w:t>
            </w:r>
          </w:p>
        </w:tc>
        <w:tc>
          <w:tcPr>
            <w:tcW w:type="dxa" w:w="3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pip install numpy pandas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Numba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JIT speed optimization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pip install numba</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SciPy</w:t>
            </w:r>
          </w:p>
        </w:tc>
        <w:tc>
          <w:tcPr>
            <w:tcW w:type="dxa" w:w="3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Statistical functions</w:t>
            </w:r>
          </w:p>
        </w:tc>
        <w:tc>
          <w:tcPr>
            <w:tcW w:type="dxa" w:w="3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pip install scipy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yfinance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Live market data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pip install yfinance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fredapi</w:t>
            </w:r>
          </w:p>
        </w:tc>
        <w:tc>
          <w:tcPr>
            <w:tcW w:type="dxa" w:w="3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Macro economic data</w:t>
            </w:r>
          </w:p>
        </w:tc>
        <w:tc>
          <w:tcPr>
            <w:tcW w:type="dxa" w:w="3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pip install fredapi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Streamlit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Web interface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pip install streamlit</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Plotly</w:t>
            </w:r>
          </w:p>
        </w:tc>
        <w:tc>
          <w:tcPr>
            <w:tcW w:type="dxa" w:w="3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Interactive charts</w:t>
            </w:r>
          </w:p>
        </w:tc>
        <w:tc>
          <w:tcPr>
            <w:tcW w:type="dxa" w:w="3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pip install plotly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Pytest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Unit testing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pip install pytest</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scikit-learn</w:t>
            </w:r>
          </w:p>
        </w:tc>
        <w:tc>
          <w:tcPr>
            <w:tcW w:type="dxa" w:w="3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Regression (LSM method)</w:t>
            </w:r>
          </w:p>
        </w:tc>
        <w:tc>
          <w:tcPr>
            <w:tcW w:type="dxa" w:w="3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pip install scikit-learn</w:t>
            </w:r>
          </w:p>
        </w:tc>
      </w:tr>
    </w:tbl>
    <w:p>
      <w:pPr>
        <w:spacing w:before="80" w:after="80"/>
      </w:pPr>
      <w:r>
        <w:t xml:space="preserve"/>
      </w:r>
    </w:p>
    <w:p>
      <w:pPr>
        <w:pStyle w:val="Heading1"/>
        <w:spacing w:before="360" w:after="200"/>
      </w:pPr>
      <w:r>
        <w:rPr>
          <w:rFonts w:ascii="Arial" w:cs="Arial" w:eastAsia="Arial" w:hAnsi="Arial"/>
          <w:b/>
          <w:bCs/>
          <w:color w:val="1A1A2E"/>
          <w:sz w:val="36"/>
          <w:szCs w:val="36"/>
        </w:rPr>
        <w:t xml:space="preserve">12. Final Deliverables</w:t>
      </w:r>
    </w:p>
    <w:p>
      <w:pPr>
        <w:spacing w:before="80" w:after="120"/>
      </w:pPr>
      <w:r>
        <w:rPr>
          <w:rFonts w:ascii="Arial" w:cs="Arial" w:eastAsia="Arial" w:hAnsi="Arial"/>
          <w:sz w:val="22"/>
          <w:szCs w:val="22"/>
        </w:rPr>
        <w:t xml:space="preserve">Upon completion of all 8 phases, the project will deliver:</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A fully working gold price prediction engine with 5 stochastic models</w:t>
      </w:r>
    </w:p>
    <w:p>
      <w:pPr>
        <w:pStyle w:val="ListParagraph"/>
        <w:numPr>
          <w:ilvl w:val="0"/>
          <w:numId w:val="2"/>
        </w:numPr>
        <w:spacing w:before="60" w:after="60"/>
      </w:pPr>
      <w:r>
        <w:rPr>
          <w:rFonts w:ascii="Arial" w:cs="Arial" w:eastAsia="Arial" w:hAnsi="Arial"/>
          <w:sz w:val="22"/>
          <w:szCs w:val="22"/>
        </w:rPr>
        <w:t xml:space="preserve">Live market data integration pulling real gold prices automatically</w:t>
      </w:r>
    </w:p>
    <w:p>
      <w:pPr>
        <w:pStyle w:val="ListParagraph"/>
        <w:numPr>
          <w:ilvl w:val="0"/>
          <w:numId w:val="2"/>
        </w:numPr>
        <w:spacing w:before="60" w:after="60"/>
      </w:pPr>
      <w:r>
        <w:rPr>
          <w:rFonts w:ascii="Arial" w:cs="Arial" w:eastAsia="Arial" w:hAnsi="Arial"/>
          <w:sz w:val="22"/>
          <w:szCs w:val="22"/>
        </w:rPr>
        <w:t xml:space="preserve">A beautiful Streamlit dashboard with 5 interactive pages</w:t>
      </w:r>
    </w:p>
    <w:p>
      <w:pPr>
        <w:pStyle w:val="ListParagraph"/>
        <w:numPr>
          <w:ilvl w:val="0"/>
          <w:numId w:val="2"/>
        </w:numPr>
        <w:spacing w:before="60" w:after="60"/>
      </w:pPr>
      <w:r>
        <w:rPr>
          <w:rFonts w:ascii="Arial" w:cs="Arial" w:eastAsia="Arial" w:hAnsi="Arial"/>
          <w:sz w:val="22"/>
          <w:szCs w:val="22"/>
        </w:rPr>
        <w:t xml:space="preserve">Comprehensive risk analytics including VaR, CVaR, and confidence intervals</w:t>
      </w:r>
    </w:p>
    <w:p>
      <w:pPr>
        <w:pStyle w:val="ListParagraph"/>
        <w:numPr>
          <w:ilvl w:val="0"/>
          <w:numId w:val="2"/>
        </w:numPr>
        <w:spacing w:before="60" w:after="60"/>
      </w:pPr>
      <w:r>
        <w:rPr>
          <w:rFonts w:ascii="Arial" w:cs="Arial" w:eastAsia="Arial" w:hAnsi="Arial"/>
          <w:sz w:val="22"/>
          <w:szCs w:val="22"/>
        </w:rPr>
        <w:t xml:space="preserve">Backtested and validated performance on 10+ years of historical data</w:t>
      </w:r>
    </w:p>
    <w:p>
      <w:pPr>
        <w:pStyle w:val="ListParagraph"/>
        <w:numPr>
          <w:ilvl w:val="0"/>
          <w:numId w:val="2"/>
        </w:numPr>
        <w:spacing w:before="60" w:after="60"/>
      </w:pPr>
      <w:r>
        <w:rPr>
          <w:rFonts w:ascii="Arial" w:cs="Arial" w:eastAsia="Arial" w:hAnsi="Arial"/>
          <w:sz w:val="22"/>
          <w:szCs w:val="22"/>
        </w:rPr>
        <w:t xml:space="preserve">A command-line interface for scripting and automation</w:t>
      </w:r>
    </w:p>
    <w:p>
      <w:pPr>
        <w:pStyle w:val="ListParagraph"/>
        <w:numPr>
          <w:ilvl w:val="0"/>
          <w:numId w:val="2"/>
        </w:numPr>
        <w:spacing w:before="60" w:after="60"/>
      </w:pPr>
      <w:r>
        <w:rPr>
          <w:rFonts w:ascii="Arial" w:cs="Arial" w:eastAsia="Arial" w:hAnsi="Arial"/>
          <w:sz w:val="22"/>
          <w:szCs w:val="22"/>
        </w:rPr>
        <w:t xml:space="preserve">Full unit test suite with &gt;90% code coverage</w:t>
      </w:r>
    </w:p>
    <w:p>
      <w:pPr>
        <w:pStyle w:val="ListParagraph"/>
        <w:numPr>
          <w:ilvl w:val="0"/>
          <w:numId w:val="2"/>
        </w:numPr>
        <w:spacing w:before="60" w:after="60"/>
      </w:pPr>
      <w:r>
        <w:rPr>
          <w:rFonts w:ascii="Arial" w:cs="Arial" w:eastAsia="Arial" w:hAnsi="Arial"/>
          <w:sz w:val="22"/>
          <w:szCs w:val="22"/>
        </w:rPr>
        <w:t xml:space="preserve">Complete documentation and user guide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r>
              <w:rPr>
                <w:rFonts w:ascii="Arial" w:cs="Arial" w:eastAsia="Arial" w:hAnsi="Arial"/>
                <w:b/>
                <w:bCs/>
                <w:color w:val="FFFFFF"/>
                <w:sz w:val="22"/>
                <w:szCs w:val="22"/>
              </w:rPr>
              <w:t xml:space="preserve">Success Criteria</w:t>
            </w:r>
          </w:p>
        </w:tc>
      </w:tr>
      <w:tr>
        <w:tc>
          <w:tcPr>
            <w:tcW w:type="dxa" w:w="9360"/>
            <w:tcBorders>
              <w:top w:val="single" w:color="CCCCCC" w:sz="1"/>
              <w:left w:val="single" w:color="CCCCCC" w:sz="1"/>
              <w:bottom w:val="single" w:color="CCCCCC" w:sz="1"/>
              <w:right w:val="single" w:color="CCCCCC" w:sz="1"/>
            </w:tcBorders>
            <w:shd w:fill="FFF8DC" w:val="clear"/>
            <w:tcMar>
              <w:top w:type="dxa" w:w="80"/>
              <w:left w:type="dxa" w:w="160"/>
              <w:bottom w:type="dxa" w:w="80"/>
              <w:right w:type="dxa" w:w="160"/>
            </w:tcMar>
          </w:tcPr>
          <w:p>
            <w:r>
              <w:rPr>
                <w:rFonts w:ascii="Arial" w:cs="Arial" w:eastAsia="Arial" w:hAnsi="Arial"/>
                <w:sz w:val="20"/>
                <w:szCs w:val="20"/>
              </w:rPr>
              <w:t xml:space="preserve">  MAPE &lt; 5% on 30-day forward predictions (validation set)</w:t>
            </w:r>
          </w:p>
        </w:tc>
      </w:tr>
      <w:tr>
        <w:tc>
          <w:tcPr>
            <w:tcW w:type="dxa" w:w="9360"/>
            <w:tcBorders>
              <w:top w:val="single" w:color="CCCCCC" w:sz="1"/>
              <w:left w:val="single" w:color="CCCCCC" w:sz="1"/>
              <w:bottom w:val="single" w:color="CCCCCC" w:sz="1"/>
              <w:right w:val="single" w:color="CCCCCC" w:sz="1"/>
            </w:tcBorders>
            <w:shd w:fill="FFF8DC" w:val="clear"/>
            <w:tcMar>
              <w:top w:type="dxa" w:w="80"/>
              <w:left w:type="dxa" w:w="160"/>
              <w:bottom w:type="dxa" w:w="80"/>
              <w:right w:type="dxa" w:w="160"/>
            </w:tcMar>
          </w:tcPr>
          <w:p>
            <w:r>
              <w:rPr>
                <w:rFonts w:ascii="Arial" w:cs="Arial" w:eastAsia="Arial" w:hAnsi="Arial"/>
                <w:sz w:val="20"/>
                <w:szCs w:val="20"/>
              </w:rPr>
              <w:t xml:space="preserve">  95% CI coverage &gt; 93% on historical backtests</w:t>
            </w:r>
          </w:p>
        </w:tc>
      </w:tr>
      <w:tr>
        <w:tc>
          <w:tcPr>
            <w:tcW w:type="dxa" w:w="9360"/>
            <w:tcBorders>
              <w:top w:val="single" w:color="CCCCCC" w:sz="1"/>
              <w:left w:val="single" w:color="CCCCCC" w:sz="1"/>
              <w:bottom w:val="single" w:color="CCCCCC" w:sz="1"/>
              <w:right w:val="single" w:color="CCCCCC" w:sz="1"/>
            </w:tcBorders>
            <w:shd w:fill="FFF8DC" w:val="clear"/>
            <w:tcMar>
              <w:top w:type="dxa" w:w="80"/>
              <w:left w:type="dxa" w:w="160"/>
              <w:bottom w:type="dxa" w:w="80"/>
              <w:right w:type="dxa" w:w="160"/>
            </w:tcMar>
          </w:tcPr>
          <w:p>
            <w:r>
              <w:rPr>
                <w:rFonts w:ascii="Arial" w:cs="Arial" w:eastAsia="Arial" w:hAnsi="Arial"/>
                <w:sz w:val="20"/>
                <w:szCs w:val="20"/>
              </w:rPr>
              <w:t xml:space="preserve">  Simulation speed: 10,000 paths in &lt; 2 seconds (with Numba)</w:t>
            </w:r>
          </w:p>
        </w:tc>
      </w:tr>
      <w:tr>
        <w:tc>
          <w:tcPr>
            <w:tcW w:type="dxa" w:w="9360"/>
            <w:tcBorders>
              <w:top w:val="single" w:color="CCCCCC" w:sz="1"/>
              <w:left w:val="single" w:color="CCCCCC" w:sz="1"/>
              <w:bottom w:val="single" w:color="CCCCCC" w:sz="1"/>
              <w:right w:val="single" w:color="CCCCCC" w:sz="1"/>
            </w:tcBorders>
            <w:shd w:fill="FFF8DC" w:val="clear"/>
            <w:tcMar>
              <w:top w:type="dxa" w:w="80"/>
              <w:left w:type="dxa" w:w="160"/>
              <w:bottom w:type="dxa" w:w="80"/>
              <w:right w:type="dxa" w:w="160"/>
            </w:tcMar>
          </w:tcPr>
          <w:p>
            <w:r>
              <w:rPr>
                <w:rFonts w:ascii="Arial" w:cs="Arial" w:eastAsia="Arial" w:hAnsi="Arial"/>
                <w:sz w:val="20"/>
                <w:szCs w:val="20"/>
              </w:rPr>
              <w:t xml:space="preserve">  Dashboard loads in &lt; 3 seconds on standard hardware</w:t>
            </w:r>
          </w:p>
        </w:tc>
      </w:tr>
      <w:tr>
        <w:tc>
          <w:tcPr>
            <w:tcW w:type="dxa" w:w="9360"/>
            <w:tcBorders>
              <w:top w:val="single" w:color="CCCCCC" w:sz="1"/>
              <w:left w:val="single" w:color="CCCCCC" w:sz="1"/>
              <w:bottom w:val="single" w:color="CCCCCC" w:sz="1"/>
              <w:right w:val="single" w:color="CCCCCC" w:sz="1"/>
            </w:tcBorders>
            <w:shd w:fill="FFF8DC" w:val="clear"/>
            <w:tcMar>
              <w:top w:type="dxa" w:w="80"/>
              <w:left w:type="dxa" w:w="160"/>
              <w:bottom w:type="dxa" w:w="80"/>
              <w:right w:type="dxa" w:w="160"/>
            </w:tcMar>
          </w:tcPr>
          <w:p>
            <w:r>
              <w:rPr>
                <w:rFonts w:ascii="Arial" w:cs="Arial" w:eastAsia="Arial" w:hAnsi="Arial"/>
                <w:sz w:val="20"/>
                <w:szCs w:val="20"/>
              </w:rPr>
              <w:t xml:space="preserve">  All 5 models validated against Black-Scholes or analytical benchmarks</w:t>
            </w:r>
          </w:p>
        </w:tc>
      </w:tr>
    </w:tbl>
    <w:p>
      <w:pPr>
        <w:spacing w:before="80" w:after="80"/>
      </w:pPr>
      <w:r>
        <w:t xml:space="preserve"/>
      </w:r>
    </w:p>
    <w:p>
      <w:r>
        <w:br w:type="page"/>
      </w:r>
    </w:p>
    <w:p>
      <w:pPr>
        <w:pStyle w:val="Heading1"/>
        <w:spacing w:before="360" w:after="200"/>
      </w:pPr>
      <w:r>
        <w:rPr>
          <w:rFonts w:ascii="Arial" w:cs="Arial" w:eastAsia="Arial" w:hAnsi="Arial"/>
          <w:b/>
          <w:bCs/>
          <w:color w:val="1A1A2E"/>
          <w:sz w:val="36"/>
          <w:szCs w:val="36"/>
        </w:rPr>
        <w:t xml:space="preserve">13. Glossary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Monte Carlo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Technique using random sampling to estimate probability distributions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GBM</w:t>
            </w:r>
          </w:p>
        </w:tc>
        <w:tc>
          <w:tcPr>
            <w:tcW w:type="dxa" w:w="6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Geometric Brownian Motion — standard stock/commodity price model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Mean Reversion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Tendency of a price to return toward its long-term average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Volatility (sigma)</w:t>
            </w:r>
          </w:p>
        </w:tc>
        <w:tc>
          <w:tcPr>
            <w:tcW w:type="dxa" w:w="6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Measure of how much the price fluctuates over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Drift (mu)</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average expected direction of price movement</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Wiener Process</w:t>
            </w:r>
          </w:p>
        </w:tc>
        <w:tc>
          <w:tcPr>
            <w:tcW w:type="dxa" w:w="6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Mathematical model of random continuous-time movement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Value at Risk — maximum expected loss at a given confidence level</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CVaR</w:t>
            </w:r>
          </w:p>
        </w:tc>
        <w:tc>
          <w:tcPr>
            <w:tcW w:type="dxa" w:w="6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Conditional VaR — average loss beyond the VaR threshold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Confidence Interval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Range within which the true value is expected to fall</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Backtesting</w:t>
            </w:r>
          </w:p>
        </w:tc>
        <w:tc>
          <w:tcPr>
            <w:tcW w:type="dxa" w:w="6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Testing a model on historical data to measure its accuracy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Calibration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Process of fitting model parameters to observed market data</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Regime Switching</w:t>
            </w:r>
          </w:p>
        </w:tc>
        <w:tc>
          <w:tcPr>
            <w:tcW w:type="dxa" w:w="6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Model that alternates between distinct market behavior states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Heston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Options pricing model with stochastic (random) volatility</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Stochastic</w:t>
            </w:r>
          </w:p>
        </w:tc>
        <w:tc>
          <w:tcPr>
            <w:tcW w:type="dxa" w:w="6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Involving random probability distribution in its behavior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DXY Index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 Dollar Index — measures dollar strength against major currencies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VIX</w:t>
            </w:r>
          </w:p>
        </w:tc>
        <w:tc>
          <w:tcPr>
            <w:tcW w:type="dxa" w:w="6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CBOE Volatility Index — measures market fear and uncertainty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Mean Absolute Percentage Error — measures forecast accuracy</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RMSE</w:t>
            </w:r>
          </w:p>
        </w:tc>
        <w:tc>
          <w:tcPr>
            <w:tcW w:type="dxa" w:w="6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Root Mean Square Error — penalizes large prediction errors more</w:t>
            </w:r>
          </w:p>
        </w:tc>
      </w:tr>
    </w:tbl>
    <w:p>
      <w:pPr>
        <w:spacing w:before="80" w:after="80"/>
      </w:pPr>
      <w:r>
        <w:t xml:space="preserve"/>
      </w:r>
    </w:p>
    <w:p>
      <w:pPr>
        <w:spacing w:before="80" w:after="80"/>
      </w:pPr>
      <w:r>
        <w:t xml:space="preserve"/>
      </w:r>
    </w:p>
    <w:p>
      <w:pPr>
        <w:pBdr>
          <w:top w:val="single" w:color="B8860B" w:sz="6" w:space="8"/>
        </w:pBdr>
        <w:spacing w:before="400" w:after="200"/>
        <w:jc w:val="center"/>
      </w:pPr>
      <w:r>
        <w:rPr>
          <w:rFonts w:ascii="Arial" w:cs="Arial" w:eastAsia="Arial" w:hAnsi="Arial"/>
          <w:b/>
          <w:bCs/>
          <w:i/>
          <w:iCs/>
          <w:color w:val="888888"/>
          <w:sz w:val="22"/>
          <w:szCs w:val="22"/>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6" w:space="4"/>
      </w:pBdr>
      <w:tabs>
        <w:tab w:val="right" w:pos="9026"/>
      </w:tabs>
    </w:pPr>
    <w:r>
      <w:rPr>
        <w:rFonts w:ascii="Arial" w:cs="Arial" w:eastAsia="Arial" w:hAnsi="Arial"/>
        <w:color w:val="888888"/>
        <w:sz w:val="16"/>
        <w:szCs w:val="16"/>
      </w:rPr>
      <w:t xml:space="preserve">Confidential — Internal Development Document</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4"/>
      </w:pBdr>
      <w:tabs>
        <w:tab w:val="right" w:pos="9026"/>
      </w:tabs>
    </w:pPr>
    <w:r>
      <w:rPr>
        <w:rFonts w:ascii="Arial" w:cs="Arial" w:eastAsia="Arial" w:hAnsi="Arial"/>
        <w:b/>
        <w:bCs/>
        <w:color w:val="1B4F8A"/>
        <w:sz w:val="18"/>
        <w:szCs w:val="18"/>
      </w:rPr>
      <w:t xml:space="preserve">Monte Carlo Gold Price Predictor</w:t>
    </w:r>
    <w:r>
      <w:rPr>
        <w:rFonts w:ascii="Arial" w:cs="Arial" w:eastAsia="Arial" w:hAnsi="Arial"/>
        <w:color w:val="888888"/>
        <w:sz w:val="18"/>
        <w:szCs w:val="18"/>
      </w:rPr>
      <w:t xml:space="preserve">	Development Plan &amp;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4F8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2026-03-06T23:04:28.385Z</dcterms:created>
  <dcterms:modified xsi:type="dcterms:W3CDTF">2026-03-06T23:04:28.386Z</dcterms:modified>
</cp:coreProperties>
</file>

<file path=docProps/custom.xml><?xml version="1.0" encoding="utf-8"?>
<Properties xmlns="http://schemas.openxmlformats.org/officeDocument/2006/custom-properties" xmlns:vt="http://schemas.openxmlformats.org/officeDocument/2006/docPropsVTypes"/>
</file>