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E1565D" w14:paraId="590BAD6E" w14:textId="77777777" w:rsidTr="00E1565D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EF75" w14:textId="77777777" w:rsidR="00E1565D" w:rsidRDefault="00E1565D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41A1" w14:textId="77777777" w:rsidR="00E1565D" w:rsidRDefault="00E1565D">
            <w:bookmarkStart w:id="0" w:name="OLE_LINK7"/>
            <w:r>
              <w:t>Implementation of scenario analysis functionality, enabling users to simulate various market conditions and assess the impact on demand forecasts, aiding in risk management and strategic planning.</w:t>
            </w:r>
            <w:bookmarkEnd w:id="0"/>
          </w:p>
        </w:tc>
      </w:tr>
    </w:tbl>
    <w:p w14:paraId="3A7BDF27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06"/>
    <w:rsid w:val="00213711"/>
    <w:rsid w:val="00875434"/>
    <w:rsid w:val="00902A06"/>
    <w:rsid w:val="00AE52CD"/>
    <w:rsid w:val="00E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C4DD"/>
  <w15:chartTrackingRefBased/>
  <w15:docId w15:val="{6C329CCA-198E-4FC1-B409-E79A34E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5D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A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0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A06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0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A06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90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A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65D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2024-06-20T07:34:00Z</dcterms:modified>
</cp:coreProperties>
</file>