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Application Delivery Guidelines — Quiz</w:t>
      </w:r>
    </w:p>
    <w:p>
      <w:pPr>
        <w:pStyle w:val="BodyText"/>
        <w:bidi w:val="0"/>
        <w:jc w:val="left"/>
        <w:rPr>
          <w:i/>
        </w:rPr>
      </w:pPr>
      <w:r>
        <w:rPr>
          <w:i/>
        </w:rPr>
        <w:t>12 questions. Answer key on the last page.</w:t>
      </w:r>
    </w:p>
    <w:p>
      <w:pPr>
        <w:pStyle w:val="Heading3"/>
        <w:bidi w:val="0"/>
        <w:jc w:val="left"/>
        <w:rPr/>
      </w:pPr>
      <w:r>
        <w:rPr/>
        <w:t>Question 1</w:t>
      </w:r>
    </w:p>
    <w:p>
      <w:pPr>
        <w:pStyle w:val="BodyText"/>
        <w:bidi w:val="0"/>
        <w:jc w:val="left"/>
        <w:rPr/>
      </w:pPr>
      <w:r>
        <w:rPr/>
        <w:t>A client with a live Oracle implementation wants to extend it to two new legal entities in another country, using the existing global template with localized configurations and statutory requirements. Which Vigilant project type is this?</w:t>
      </w:r>
    </w:p>
    <w:p>
      <w:pPr>
        <w:pStyle w:val="BodyText"/>
        <w:numPr>
          <w:ilvl w:val="0"/>
          <w:numId w:val="1"/>
        </w:numPr>
        <w:tabs>
          <w:tab w:val="clear" w:pos="1134"/>
          <w:tab w:val="left" w:pos="709" w:leader="none"/>
        </w:tabs>
        <w:bidi w:val="0"/>
        <w:spacing w:before="0" w:after="0"/>
        <w:ind w:hanging="283" w:left="709"/>
        <w:jc w:val="left"/>
        <w:rPr/>
      </w:pPr>
      <w:r>
        <w:rPr/>
        <w:t xml:space="preserve">Implementation / Transformation </w:t>
      </w:r>
    </w:p>
    <w:p>
      <w:pPr>
        <w:pStyle w:val="BodyText"/>
        <w:numPr>
          <w:ilvl w:val="0"/>
          <w:numId w:val="1"/>
        </w:numPr>
        <w:tabs>
          <w:tab w:val="clear" w:pos="1134"/>
          <w:tab w:val="left" w:pos="709" w:leader="none"/>
        </w:tabs>
        <w:bidi w:val="0"/>
        <w:spacing w:before="0" w:after="0"/>
        <w:ind w:hanging="283" w:left="709"/>
        <w:jc w:val="left"/>
        <w:rPr/>
      </w:pPr>
      <w:r>
        <w:rPr/>
        <w:t xml:space="preserve">Rollout </w:t>
      </w:r>
    </w:p>
    <w:p>
      <w:pPr>
        <w:pStyle w:val="BodyText"/>
        <w:numPr>
          <w:ilvl w:val="0"/>
          <w:numId w:val="1"/>
        </w:numPr>
        <w:tabs>
          <w:tab w:val="clear" w:pos="1134"/>
          <w:tab w:val="left" w:pos="709" w:leader="none"/>
        </w:tabs>
        <w:bidi w:val="0"/>
        <w:spacing w:before="0" w:after="0"/>
        <w:ind w:hanging="283" w:left="709"/>
        <w:jc w:val="left"/>
        <w:rPr/>
      </w:pPr>
      <w:r>
        <w:rPr/>
        <w:t xml:space="preserve">Upgrade </w:t>
      </w:r>
    </w:p>
    <w:p>
      <w:pPr>
        <w:pStyle w:val="BodyText"/>
        <w:numPr>
          <w:ilvl w:val="0"/>
          <w:numId w:val="1"/>
        </w:numPr>
        <w:tabs>
          <w:tab w:val="clear" w:pos="1134"/>
          <w:tab w:val="left" w:pos="709" w:leader="none"/>
        </w:tabs>
        <w:bidi w:val="0"/>
        <w:ind w:hanging="283" w:left="709"/>
        <w:jc w:val="left"/>
        <w:rPr/>
      </w:pPr>
      <w:r>
        <w:rPr/>
        <w:t xml:space="preserve">Enhancement </w:t>
      </w:r>
    </w:p>
    <w:p>
      <w:pPr>
        <w:pStyle w:val="Heading3"/>
        <w:bidi w:val="0"/>
        <w:jc w:val="left"/>
        <w:rPr/>
      </w:pPr>
      <w:r>
        <w:rPr/>
        <w:t>Question 2</w:t>
      </w:r>
    </w:p>
    <w:p>
      <w:pPr>
        <w:pStyle w:val="BodyText"/>
        <w:bidi w:val="0"/>
        <w:jc w:val="left"/>
        <w:rPr/>
      </w:pPr>
      <w:r>
        <w:rPr/>
        <w:t>In the RICEFW Inventory, what does the acronym RICEFW stand for?</w:t>
      </w:r>
    </w:p>
    <w:p>
      <w:pPr>
        <w:pStyle w:val="BodyText"/>
        <w:numPr>
          <w:ilvl w:val="0"/>
          <w:numId w:val="2"/>
        </w:numPr>
        <w:tabs>
          <w:tab w:val="clear" w:pos="1134"/>
          <w:tab w:val="left" w:pos="709" w:leader="none"/>
        </w:tabs>
        <w:bidi w:val="0"/>
        <w:spacing w:before="0" w:after="0"/>
        <w:ind w:hanging="283" w:left="709"/>
        <w:jc w:val="left"/>
        <w:rPr/>
      </w:pPr>
      <w:r>
        <w:rPr/>
        <w:t xml:space="preserve">Requirements, Integrations, Configurations, Enhancements, Forms, Workflows </w:t>
      </w:r>
    </w:p>
    <w:p>
      <w:pPr>
        <w:pStyle w:val="BodyText"/>
        <w:numPr>
          <w:ilvl w:val="0"/>
          <w:numId w:val="2"/>
        </w:numPr>
        <w:tabs>
          <w:tab w:val="clear" w:pos="1134"/>
          <w:tab w:val="left" w:pos="709" w:leader="none"/>
        </w:tabs>
        <w:bidi w:val="0"/>
        <w:spacing w:before="0" w:after="0"/>
        <w:ind w:hanging="283" w:left="709"/>
        <w:jc w:val="left"/>
        <w:rPr/>
      </w:pPr>
      <w:r>
        <w:rPr/>
        <w:t xml:space="preserve">Reports, Interfaces, Customizations, Extensions, Fields, Workbooks </w:t>
      </w:r>
    </w:p>
    <w:p>
      <w:pPr>
        <w:pStyle w:val="BodyText"/>
        <w:numPr>
          <w:ilvl w:val="0"/>
          <w:numId w:val="2"/>
        </w:numPr>
        <w:tabs>
          <w:tab w:val="clear" w:pos="1134"/>
          <w:tab w:val="left" w:pos="709" w:leader="none"/>
        </w:tabs>
        <w:bidi w:val="0"/>
        <w:spacing w:before="0" w:after="0"/>
        <w:ind w:hanging="283" w:left="709"/>
        <w:jc w:val="left"/>
        <w:rPr/>
      </w:pPr>
      <w:r>
        <w:rPr/>
        <w:t xml:space="preserve">Reports, Integrations, Conversions, Extensions, Forms, Workflows </w:t>
      </w:r>
    </w:p>
    <w:p>
      <w:pPr>
        <w:pStyle w:val="BodyText"/>
        <w:numPr>
          <w:ilvl w:val="0"/>
          <w:numId w:val="2"/>
        </w:numPr>
        <w:tabs>
          <w:tab w:val="clear" w:pos="1134"/>
          <w:tab w:val="left" w:pos="709" w:leader="none"/>
        </w:tabs>
        <w:bidi w:val="0"/>
        <w:ind w:hanging="283" w:left="709"/>
        <w:jc w:val="left"/>
        <w:rPr/>
      </w:pPr>
      <w:r>
        <w:rPr/>
        <w:t xml:space="preserve">Requirements, Interfaces, Conversions, Enhancements, Functions, Workflows </w:t>
      </w:r>
    </w:p>
    <w:p>
      <w:pPr>
        <w:pStyle w:val="Heading3"/>
        <w:bidi w:val="0"/>
        <w:jc w:val="left"/>
        <w:rPr/>
      </w:pPr>
      <w:r>
        <w:rPr/>
        <w:t>Question 3</w:t>
      </w:r>
    </w:p>
    <w:p>
      <w:pPr>
        <w:pStyle w:val="BodyText"/>
        <w:bidi w:val="0"/>
        <w:jc w:val="left"/>
        <w:rPr/>
      </w:pPr>
      <w:r>
        <w:rPr/>
        <w:t>In Vigilant's delivery model, who is accountable for the final Go-Live recommendation, which must be supported by objective readiness evidence?</w:t>
      </w:r>
    </w:p>
    <w:p>
      <w:pPr>
        <w:pStyle w:val="BodyText"/>
        <w:numPr>
          <w:ilvl w:val="0"/>
          <w:numId w:val="3"/>
        </w:numPr>
        <w:tabs>
          <w:tab w:val="clear" w:pos="1134"/>
          <w:tab w:val="left" w:pos="709" w:leader="none"/>
        </w:tabs>
        <w:bidi w:val="0"/>
        <w:spacing w:before="0" w:after="0"/>
        <w:ind w:hanging="283" w:left="709"/>
        <w:jc w:val="left"/>
        <w:rPr/>
      </w:pPr>
      <w:r>
        <w:rPr/>
        <w:t xml:space="preserve">The Project Manager / PMO </w:t>
      </w:r>
    </w:p>
    <w:p>
      <w:pPr>
        <w:pStyle w:val="BodyText"/>
        <w:numPr>
          <w:ilvl w:val="0"/>
          <w:numId w:val="3"/>
        </w:numPr>
        <w:tabs>
          <w:tab w:val="clear" w:pos="1134"/>
          <w:tab w:val="left" w:pos="709" w:leader="none"/>
        </w:tabs>
        <w:bidi w:val="0"/>
        <w:spacing w:before="0" w:after="0"/>
        <w:ind w:hanging="283" w:left="709"/>
        <w:jc w:val="left"/>
        <w:rPr/>
      </w:pPr>
      <w:r>
        <w:rPr/>
        <w:t xml:space="preserve">The Technical Solution Architect </w:t>
      </w:r>
    </w:p>
    <w:p>
      <w:pPr>
        <w:pStyle w:val="BodyText"/>
        <w:numPr>
          <w:ilvl w:val="0"/>
          <w:numId w:val="3"/>
        </w:numPr>
        <w:tabs>
          <w:tab w:val="clear" w:pos="1134"/>
          <w:tab w:val="left" w:pos="709" w:leader="none"/>
        </w:tabs>
        <w:bidi w:val="0"/>
        <w:spacing w:before="0" w:after="0"/>
        <w:ind w:hanging="283" w:left="709"/>
        <w:jc w:val="left"/>
        <w:rPr/>
      </w:pPr>
      <w:r>
        <w:rPr/>
        <w:t xml:space="preserve">The client Steering Committee </w:t>
      </w:r>
    </w:p>
    <w:p>
      <w:pPr>
        <w:pStyle w:val="BodyText"/>
        <w:numPr>
          <w:ilvl w:val="0"/>
          <w:numId w:val="3"/>
        </w:numPr>
        <w:tabs>
          <w:tab w:val="clear" w:pos="1134"/>
          <w:tab w:val="left" w:pos="709" w:leader="none"/>
        </w:tabs>
        <w:bidi w:val="0"/>
        <w:ind w:hanging="283" w:left="709"/>
        <w:jc w:val="left"/>
        <w:rPr/>
      </w:pPr>
      <w:r>
        <w:rPr/>
        <w:t xml:space="preserve">The Enterprise Architect </w:t>
      </w:r>
    </w:p>
    <w:p>
      <w:pPr>
        <w:pStyle w:val="Heading3"/>
        <w:bidi w:val="0"/>
        <w:jc w:val="left"/>
        <w:rPr/>
      </w:pPr>
      <w:r>
        <w:rPr/>
        <w:t>Question 4</w:t>
      </w:r>
    </w:p>
    <w:p>
      <w:pPr>
        <w:pStyle w:val="BodyText"/>
        <w:bidi w:val="0"/>
        <w:jc w:val="left"/>
        <w:rPr/>
      </w:pPr>
      <w:r>
        <w:rPr/>
        <w:t>A Functional SME notices an error in an RTM row and wants to correct it. According to RTM governance, what is the correct way for this update to happen?</w:t>
      </w:r>
    </w:p>
    <w:p>
      <w:pPr>
        <w:pStyle w:val="BodyText"/>
        <w:numPr>
          <w:ilvl w:val="0"/>
          <w:numId w:val="4"/>
        </w:numPr>
        <w:tabs>
          <w:tab w:val="clear" w:pos="1134"/>
          <w:tab w:val="left" w:pos="709" w:leader="none"/>
        </w:tabs>
        <w:bidi w:val="0"/>
        <w:spacing w:before="0" w:after="0"/>
        <w:ind w:hanging="283" w:left="709"/>
        <w:jc w:val="left"/>
        <w:rPr/>
      </w:pPr>
      <w:r>
        <w:rPr/>
        <w:t xml:space="preserve">The SME edits the RTM directly, since SMEs own requirement documentation </w:t>
      </w:r>
    </w:p>
    <w:p>
      <w:pPr>
        <w:pStyle w:val="BodyText"/>
        <w:numPr>
          <w:ilvl w:val="0"/>
          <w:numId w:val="4"/>
        </w:numPr>
        <w:tabs>
          <w:tab w:val="clear" w:pos="1134"/>
          <w:tab w:val="left" w:pos="709" w:leader="none"/>
        </w:tabs>
        <w:bidi w:val="0"/>
        <w:spacing w:before="0" w:after="0"/>
        <w:ind w:hanging="283" w:left="709"/>
        <w:jc w:val="left"/>
        <w:rPr/>
      </w:pPr>
      <w:r>
        <w:rPr/>
        <w:t xml:space="preserve">The SME provides the feedback to a Functional Architect, because only Functional Architects prepare and update the RTM </w:t>
      </w:r>
    </w:p>
    <w:p>
      <w:pPr>
        <w:pStyle w:val="BodyText"/>
        <w:numPr>
          <w:ilvl w:val="0"/>
          <w:numId w:val="4"/>
        </w:numPr>
        <w:tabs>
          <w:tab w:val="clear" w:pos="1134"/>
          <w:tab w:val="left" w:pos="709" w:leader="none"/>
        </w:tabs>
        <w:bidi w:val="0"/>
        <w:spacing w:before="0" w:after="0"/>
        <w:ind w:hanging="283" w:left="709"/>
        <w:jc w:val="left"/>
        <w:rPr/>
      </w:pPr>
      <w:r>
        <w:rPr/>
        <w:t xml:space="preserve">The SME logs it in the RAID list and waits for the Enterprise Architect to update the RTM </w:t>
      </w:r>
    </w:p>
    <w:p>
      <w:pPr>
        <w:pStyle w:val="BodyText"/>
        <w:numPr>
          <w:ilvl w:val="0"/>
          <w:numId w:val="4"/>
        </w:numPr>
        <w:tabs>
          <w:tab w:val="clear" w:pos="1134"/>
          <w:tab w:val="left" w:pos="709" w:leader="none"/>
        </w:tabs>
        <w:bidi w:val="0"/>
        <w:ind w:hanging="283" w:left="709"/>
        <w:jc w:val="left"/>
        <w:rPr/>
      </w:pPr>
      <w:r>
        <w:rPr/>
        <w:t xml:space="preserve">The SME raises a formal change request, since any RTM edit requires change control </w:t>
      </w:r>
    </w:p>
    <w:p>
      <w:pPr>
        <w:pStyle w:val="Heading3"/>
        <w:bidi w:val="0"/>
        <w:jc w:val="left"/>
        <w:rPr/>
      </w:pPr>
      <w:r>
        <w:rPr/>
        <w:t>Question 5</w:t>
      </w:r>
    </w:p>
    <w:p>
      <w:pPr>
        <w:pStyle w:val="BodyText"/>
        <w:bidi w:val="0"/>
        <w:jc w:val="left"/>
        <w:rPr/>
      </w:pPr>
      <w:r>
        <w:rPr/>
        <w:t>A defect is found in an integration during UAT. Under the mandatory Code Migration Control Policy, what must the team do?</w:t>
      </w:r>
    </w:p>
    <w:p>
      <w:pPr>
        <w:pStyle w:val="BodyText"/>
        <w:numPr>
          <w:ilvl w:val="0"/>
          <w:numId w:val="5"/>
        </w:numPr>
        <w:tabs>
          <w:tab w:val="clear" w:pos="1134"/>
          <w:tab w:val="left" w:pos="709" w:leader="none"/>
        </w:tabs>
        <w:bidi w:val="0"/>
        <w:spacing w:before="0" w:after="0"/>
        <w:ind w:hanging="283" w:left="709"/>
        <w:jc w:val="left"/>
        <w:rPr/>
      </w:pPr>
      <w:r>
        <w:rPr/>
        <w:t xml:space="preserve">Fix the code directly in UAT so testing can resume quickly, then copy the fix to PROD </w:t>
      </w:r>
    </w:p>
    <w:p>
      <w:pPr>
        <w:pStyle w:val="BodyText"/>
        <w:numPr>
          <w:ilvl w:val="0"/>
          <w:numId w:val="5"/>
        </w:numPr>
        <w:tabs>
          <w:tab w:val="clear" w:pos="1134"/>
          <w:tab w:val="left" w:pos="709" w:leader="none"/>
        </w:tabs>
        <w:bidi w:val="0"/>
        <w:spacing w:before="0" w:after="0"/>
        <w:ind w:hanging="283" w:left="709"/>
        <w:jc w:val="left"/>
        <w:rPr/>
      </w:pPr>
      <w:r>
        <w:rPr/>
        <w:t xml:space="preserve">Fix the code in a non-UAT development environment, redeploy the updated package to UAT, and only promote it to PROD after successful UAT validation </w:t>
      </w:r>
    </w:p>
    <w:p>
      <w:pPr>
        <w:pStyle w:val="BodyText"/>
        <w:numPr>
          <w:ilvl w:val="0"/>
          <w:numId w:val="5"/>
        </w:numPr>
        <w:tabs>
          <w:tab w:val="clear" w:pos="1134"/>
          <w:tab w:val="left" w:pos="709" w:leader="none"/>
        </w:tabs>
        <w:bidi w:val="0"/>
        <w:spacing w:before="0" w:after="0"/>
        <w:ind w:hanging="283" w:left="709"/>
        <w:jc w:val="left"/>
        <w:rPr/>
      </w:pPr>
      <w:r>
        <w:rPr/>
        <w:t xml:space="preserve">Promote the original UAT package to PROD as scheduled and apply the fix as a PROD patch after Go-Live </w:t>
      </w:r>
    </w:p>
    <w:p>
      <w:pPr>
        <w:pStyle w:val="BodyText"/>
        <w:numPr>
          <w:ilvl w:val="0"/>
          <w:numId w:val="5"/>
        </w:numPr>
        <w:tabs>
          <w:tab w:val="clear" w:pos="1134"/>
          <w:tab w:val="left" w:pos="709" w:leader="none"/>
        </w:tabs>
        <w:bidi w:val="0"/>
        <w:ind w:hanging="283" w:left="709"/>
        <w:jc w:val="left"/>
        <w:rPr/>
      </w:pPr>
      <w:r>
        <w:rPr/>
        <w:t xml:space="preserve">Recompile the component during the PROD deployment window so UAT and PROD end up functionally equivalent </w:t>
      </w:r>
    </w:p>
    <w:p>
      <w:pPr>
        <w:pStyle w:val="Heading3"/>
        <w:bidi w:val="0"/>
        <w:jc w:val="left"/>
        <w:rPr/>
      </w:pPr>
      <w:r>
        <w:rPr/>
        <w:t>Question 6</w:t>
      </w:r>
    </w:p>
    <w:p>
      <w:pPr>
        <w:pStyle w:val="BodyText"/>
        <w:bidi w:val="0"/>
        <w:jc w:val="left"/>
        <w:rPr/>
      </w:pPr>
      <w:r>
        <w:rPr/>
        <w:t>A Functional Architect has tailored the Workshop Design Document (WDD) for a project and is ready to present it to the client. What approval step applies before presentation?</w:t>
      </w:r>
    </w:p>
    <w:p>
      <w:pPr>
        <w:pStyle w:val="BodyText"/>
        <w:numPr>
          <w:ilvl w:val="0"/>
          <w:numId w:val="6"/>
        </w:numPr>
        <w:tabs>
          <w:tab w:val="clear" w:pos="1134"/>
          <w:tab w:val="left" w:pos="709" w:leader="none"/>
        </w:tabs>
        <w:bidi w:val="0"/>
        <w:spacing w:before="0" w:after="0"/>
        <w:ind w:hanging="283" w:left="709"/>
        <w:jc w:val="left"/>
        <w:rPr/>
      </w:pPr>
      <w:r>
        <w:rPr/>
        <w:t xml:space="preserve">Formal client sign-off must be obtained, like other functional documents </w:t>
      </w:r>
    </w:p>
    <w:p>
      <w:pPr>
        <w:pStyle w:val="BodyText"/>
        <w:numPr>
          <w:ilvl w:val="0"/>
          <w:numId w:val="6"/>
        </w:numPr>
        <w:tabs>
          <w:tab w:val="clear" w:pos="1134"/>
          <w:tab w:val="left" w:pos="709" w:leader="none"/>
        </w:tabs>
        <w:bidi w:val="0"/>
        <w:spacing w:before="0" w:after="0"/>
        <w:ind w:hanging="283" w:left="709"/>
        <w:jc w:val="left"/>
        <w:rPr/>
      </w:pPr>
      <w:r>
        <w:rPr/>
        <w:t xml:space="preserve">It must be approved by the Enterprise Architect as a phase-gate deliverable </w:t>
      </w:r>
    </w:p>
    <w:p>
      <w:pPr>
        <w:pStyle w:val="BodyText"/>
        <w:numPr>
          <w:ilvl w:val="0"/>
          <w:numId w:val="6"/>
        </w:numPr>
        <w:tabs>
          <w:tab w:val="clear" w:pos="1134"/>
          <w:tab w:val="left" w:pos="709" w:leader="none"/>
        </w:tabs>
        <w:bidi w:val="0"/>
        <w:spacing w:before="0" w:after="0"/>
        <w:ind w:hanging="283" w:left="709"/>
        <w:jc w:val="left"/>
        <w:rPr/>
      </w:pPr>
      <w:r>
        <w:rPr/>
        <w:t xml:space="preserve">It requires internal review with the Service Delivery Manager and/or Project Manager, but no formal client approval </w:t>
      </w:r>
    </w:p>
    <w:p>
      <w:pPr>
        <w:pStyle w:val="BodyText"/>
        <w:numPr>
          <w:ilvl w:val="0"/>
          <w:numId w:val="6"/>
        </w:numPr>
        <w:tabs>
          <w:tab w:val="clear" w:pos="1134"/>
          <w:tab w:val="left" w:pos="709" w:leader="none"/>
        </w:tabs>
        <w:bidi w:val="0"/>
        <w:ind w:hanging="283" w:left="709"/>
        <w:jc w:val="left"/>
        <w:rPr/>
      </w:pPr>
      <w:r>
        <w:rPr/>
        <w:t xml:space="preserve">No review is needed because the WDD is a reusable methodology asset </w:t>
      </w:r>
    </w:p>
    <w:p>
      <w:pPr>
        <w:pStyle w:val="Heading3"/>
        <w:bidi w:val="0"/>
        <w:jc w:val="left"/>
        <w:rPr/>
      </w:pPr>
      <w:r>
        <w:rPr/>
        <w:t>Question 7</w:t>
      </w:r>
    </w:p>
    <w:p>
      <w:pPr>
        <w:pStyle w:val="BodyText"/>
        <w:bidi w:val="0"/>
        <w:jc w:val="left"/>
        <w:rPr/>
      </w:pPr>
      <w:r>
        <w:rPr/>
        <w:t>During a Solution Build workshop, the business reviews a demonstrated Oracle standard capability and confirms it fully supports their process with no client-specific requirements or gaps. What should the Functional Architect do in the RTM?</w:t>
      </w:r>
    </w:p>
    <w:p>
      <w:pPr>
        <w:pStyle w:val="BodyText"/>
        <w:numPr>
          <w:ilvl w:val="0"/>
          <w:numId w:val="7"/>
        </w:numPr>
        <w:tabs>
          <w:tab w:val="clear" w:pos="1134"/>
          <w:tab w:val="left" w:pos="709" w:leader="none"/>
        </w:tabs>
        <w:bidi w:val="0"/>
        <w:spacing w:before="0" w:after="0"/>
        <w:ind w:hanging="283" w:left="709"/>
        <w:jc w:val="left"/>
        <w:rPr/>
      </w:pPr>
      <w:r>
        <w:rPr/>
        <w:t xml:space="preserve">Leave the Summarized Requirement blank since there is no real requirement, and mark the row Approved </w:t>
      </w:r>
    </w:p>
    <w:p>
      <w:pPr>
        <w:pStyle w:val="BodyText"/>
        <w:numPr>
          <w:ilvl w:val="0"/>
          <w:numId w:val="7"/>
        </w:numPr>
        <w:tabs>
          <w:tab w:val="clear" w:pos="1134"/>
          <w:tab w:val="left" w:pos="709" w:leader="none"/>
        </w:tabs>
        <w:bidi w:val="0"/>
        <w:spacing w:before="0" w:after="0"/>
        <w:ind w:hanging="283" w:left="709"/>
        <w:jc w:val="left"/>
        <w:rPr/>
      </w:pPr>
      <w:r>
        <w:rPr/>
        <w:t xml:space="preserve">Record the prescribed 'Standard Functionality Accepted' wording in the Summarized Requirement, add a dated note, set the status to Requires Approval, and ask the client to approve the row </w:t>
      </w:r>
    </w:p>
    <w:p>
      <w:pPr>
        <w:pStyle w:val="BodyText"/>
        <w:numPr>
          <w:ilvl w:val="0"/>
          <w:numId w:val="7"/>
        </w:numPr>
        <w:tabs>
          <w:tab w:val="clear" w:pos="1134"/>
          <w:tab w:val="left" w:pos="709" w:leader="none"/>
        </w:tabs>
        <w:bidi w:val="0"/>
        <w:spacing w:before="0" w:after="0"/>
        <w:ind w:hanging="283" w:left="709"/>
        <w:jc w:val="left"/>
        <w:rPr/>
      </w:pPr>
      <w:r>
        <w:rPr/>
        <w:t xml:space="preserve">Delete the row so the RTM tracks only gaps and custom requirements </w:t>
      </w:r>
    </w:p>
    <w:p>
      <w:pPr>
        <w:pStyle w:val="BodyText"/>
        <w:numPr>
          <w:ilvl w:val="0"/>
          <w:numId w:val="7"/>
        </w:numPr>
        <w:tabs>
          <w:tab w:val="clear" w:pos="1134"/>
          <w:tab w:val="left" w:pos="709" w:leader="none"/>
        </w:tabs>
        <w:bidi w:val="0"/>
        <w:ind w:hanging="283" w:left="709"/>
        <w:jc w:val="left"/>
        <w:rPr/>
      </w:pPr>
      <w:r>
        <w:rPr/>
        <w:t xml:space="preserve">Mark the row 'Capability Not Required' since nothing custom needs to be built </w:t>
      </w:r>
    </w:p>
    <w:p>
      <w:pPr>
        <w:pStyle w:val="Heading3"/>
        <w:bidi w:val="0"/>
        <w:jc w:val="left"/>
        <w:rPr/>
      </w:pPr>
      <w:r>
        <w:rPr/>
        <w:t>Question 8</w:t>
      </w:r>
    </w:p>
    <w:p>
      <w:pPr>
        <w:pStyle w:val="BodyText"/>
        <w:bidi w:val="0"/>
        <w:jc w:val="left"/>
        <w:rPr/>
      </w:pPr>
      <w:r>
        <w:rPr/>
        <w:t>A team building a future-state business process flow needs only 4 of the 6 swim lanes in the Vigilant Visio template. Per the flow preparation guidelines, what should they do?</w:t>
      </w:r>
    </w:p>
    <w:p>
      <w:pPr>
        <w:pStyle w:val="BodyText"/>
        <w:numPr>
          <w:ilvl w:val="0"/>
          <w:numId w:val="8"/>
        </w:numPr>
        <w:tabs>
          <w:tab w:val="clear" w:pos="1134"/>
          <w:tab w:val="left" w:pos="709" w:leader="none"/>
        </w:tabs>
        <w:bidi w:val="0"/>
        <w:spacing w:before="0" w:after="0"/>
        <w:ind w:hanging="283" w:left="709"/>
        <w:jc w:val="left"/>
        <w:rPr/>
      </w:pPr>
      <w:r>
        <w:rPr/>
        <w:t xml:space="preserve">Delete Lanes 5 and 6, keeping the remaining lanes in the template's original order </w:t>
      </w:r>
    </w:p>
    <w:p>
      <w:pPr>
        <w:pStyle w:val="BodyText"/>
        <w:numPr>
          <w:ilvl w:val="0"/>
          <w:numId w:val="8"/>
        </w:numPr>
        <w:tabs>
          <w:tab w:val="clear" w:pos="1134"/>
          <w:tab w:val="left" w:pos="709" w:leader="none"/>
        </w:tabs>
        <w:bidi w:val="0"/>
        <w:spacing w:before="0" w:after="0"/>
        <w:ind w:hanging="283" w:left="709"/>
        <w:jc w:val="left"/>
        <w:rPr/>
      </w:pPr>
      <w:r>
        <w:rPr/>
        <w:t xml:space="preserve">Delete whichever two lanes are least relevant, even if they sit between other lanes </w:t>
      </w:r>
    </w:p>
    <w:p>
      <w:pPr>
        <w:pStyle w:val="BodyText"/>
        <w:numPr>
          <w:ilvl w:val="0"/>
          <w:numId w:val="8"/>
        </w:numPr>
        <w:tabs>
          <w:tab w:val="clear" w:pos="1134"/>
          <w:tab w:val="left" w:pos="709" w:leader="none"/>
        </w:tabs>
        <w:bidi w:val="0"/>
        <w:spacing w:before="0" w:after="0"/>
        <w:ind w:hanging="283" w:left="709"/>
        <w:jc w:val="left"/>
        <w:rPr/>
      </w:pPr>
      <w:r>
        <w:rPr/>
        <w:t xml:space="preserve">Reorder the lanes so the four used ones read most logically top to bottom </w:t>
      </w:r>
    </w:p>
    <w:p>
      <w:pPr>
        <w:pStyle w:val="BodyText"/>
        <w:numPr>
          <w:ilvl w:val="0"/>
          <w:numId w:val="8"/>
        </w:numPr>
        <w:tabs>
          <w:tab w:val="clear" w:pos="1134"/>
          <w:tab w:val="left" w:pos="709" w:leader="none"/>
        </w:tabs>
        <w:bidi w:val="0"/>
        <w:ind w:hanging="283" w:left="709"/>
        <w:jc w:val="left"/>
        <w:rPr/>
      </w:pPr>
      <w:r>
        <w:rPr/>
        <w:t xml:space="preserve">Keep all six lanes and mark two of them 'Not Applicable' </w:t>
      </w:r>
    </w:p>
    <w:p>
      <w:pPr>
        <w:pStyle w:val="Heading3"/>
        <w:bidi w:val="0"/>
        <w:jc w:val="left"/>
        <w:rPr/>
      </w:pPr>
      <w:r>
        <w:rPr/>
        <w:t>Question 9</w:t>
      </w:r>
    </w:p>
    <w:p>
      <w:pPr>
        <w:pStyle w:val="BodyText"/>
        <w:bidi w:val="0"/>
        <w:jc w:val="left"/>
        <w:rPr/>
      </w:pPr>
      <w:r>
        <w:rPr/>
        <w:t>The team must document the error-handling and retry design for one specific supplier integration. According to the stated scope boundaries, where does this design belong?</w:t>
      </w:r>
    </w:p>
    <w:p>
      <w:pPr>
        <w:pStyle w:val="BodyText"/>
        <w:numPr>
          <w:ilvl w:val="0"/>
          <w:numId w:val="9"/>
        </w:numPr>
        <w:tabs>
          <w:tab w:val="clear" w:pos="1134"/>
          <w:tab w:val="left" w:pos="709" w:leader="none"/>
        </w:tabs>
        <w:bidi w:val="0"/>
        <w:spacing w:before="0" w:after="0"/>
        <w:ind w:hanging="283" w:left="709"/>
        <w:jc w:val="left"/>
        <w:rPr/>
      </w:pPr>
      <w:r>
        <w:rPr/>
        <w:t xml:space="preserve">In the Technical Key Design Decision Document (TKDD), since it is a technical decision </w:t>
      </w:r>
    </w:p>
    <w:p>
      <w:pPr>
        <w:pStyle w:val="BodyText"/>
        <w:numPr>
          <w:ilvl w:val="0"/>
          <w:numId w:val="9"/>
        </w:numPr>
        <w:tabs>
          <w:tab w:val="clear" w:pos="1134"/>
          <w:tab w:val="left" w:pos="709" w:leader="none"/>
        </w:tabs>
        <w:bidi w:val="0"/>
        <w:spacing w:before="0" w:after="0"/>
        <w:ind w:hanging="283" w:left="709"/>
        <w:jc w:val="left"/>
        <w:rPr/>
      </w:pPr>
      <w:r>
        <w:rPr/>
        <w:t xml:space="preserve">In the Technical Requirement &amp; Design Document (TRDD) for that RICEFW component </w:t>
      </w:r>
    </w:p>
    <w:p>
      <w:pPr>
        <w:pStyle w:val="BodyText"/>
        <w:numPr>
          <w:ilvl w:val="0"/>
          <w:numId w:val="9"/>
        </w:numPr>
        <w:tabs>
          <w:tab w:val="clear" w:pos="1134"/>
          <w:tab w:val="left" w:pos="709" w:leader="none"/>
        </w:tabs>
        <w:bidi w:val="0"/>
        <w:spacing w:before="0" w:after="0"/>
        <w:ind w:hanging="283" w:left="709"/>
        <w:jc w:val="left"/>
        <w:rPr/>
      </w:pPr>
      <w:r>
        <w:rPr/>
        <w:t xml:space="preserve">In the Technical Architecture Process Flows, which capture detailed technical specifications </w:t>
      </w:r>
    </w:p>
    <w:p>
      <w:pPr>
        <w:pStyle w:val="BodyText"/>
        <w:numPr>
          <w:ilvl w:val="0"/>
          <w:numId w:val="9"/>
        </w:numPr>
        <w:tabs>
          <w:tab w:val="clear" w:pos="1134"/>
          <w:tab w:val="left" w:pos="709" w:leader="none"/>
        </w:tabs>
        <w:bidi w:val="0"/>
        <w:ind w:hanging="283" w:left="709"/>
        <w:jc w:val="left"/>
        <w:rPr/>
      </w:pPr>
      <w:r>
        <w:rPr/>
        <w:t xml:space="preserve">In the Functional Key Design Decision Document (FKDD) for the module </w:t>
      </w:r>
    </w:p>
    <w:p>
      <w:pPr>
        <w:pStyle w:val="Heading3"/>
        <w:bidi w:val="0"/>
        <w:jc w:val="left"/>
        <w:rPr/>
      </w:pPr>
      <w:r>
        <w:rPr/>
        <w:t>Question 10</w:t>
      </w:r>
    </w:p>
    <w:p>
      <w:pPr>
        <w:pStyle w:val="BodyText"/>
        <w:bidi w:val="0"/>
        <w:jc w:val="left"/>
        <w:rPr/>
      </w:pPr>
      <w:r>
        <w:rPr/>
        <w:t xml:space="preserve">Select all that apply: Which activities belong to the BLACKOUT Cutover sub-phase (the final shutdown window immediately before Go-Live)? </w:t>
      </w:r>
      <w:r>
        <w:rPr>
          <w:i/>
        </w:rPr>
        <w:t>(select all that apply)</w:t>
      </w:r>
    </w:p>
    <w:p>
      <w:pPr>
        <w:pStyle w:val="BodyText"/>
        <w:numPr>
          <w:ilvl w:val="0"/>
          <w:numId w:val="10"/>
        </w:numPr>
        <w:tabs>
          <w:tab w:val="clear" w:pos="1134"/>
          <w:tab w:val="left" w:pos="709" w:leader="none"/>
        </w:tabs>
        <w:bidi w:val="0"/>
        <w:spacing w:before="0" w:after="0"/>
        <w:ind w:hanging="283" w:left="709"/>
        <w:jc w:val="left"/>
        <w:rPr/>
      </w:pPr>
      <w:r>
        <w:rPr/>
        <w:t xml:space="preserve">Migrating incremental master data created since the earlier conversion </w:t>
      </w:r>
    </w:p>
    <w:p>
      <w:pPr>
        <w:pStyle w:val="BodyText"/>
        <w:numPr>
          <w:ilvl w:val="0"/>
          <w:numId w:val="10"/>
        </w:numPr>
        <w:tabs>
          <w:tab w:val="clear" w:pos="1134"/>
          <w:tab w:val="left" w:pos="709" w:leader="none"/>
        </w:tabs>
        <w:bidi w:val="0"/>
        <w:spacing w:before="0" w:after="0"/>
        <w:ind w:hanging="283" w:left="709"/>
        <w:jc w:val="left"/>
        <w:rPr/>
      </w:pPr>
      <w:r>
        <w:rPr/>
        <w:t xml:space="preserve">Deploying RICEFW components, integrations, and custom roles to Production </w:t>
      </w:r>
    </w:p>
    <w:p>
      <w:pPr>
        <w:pStyle w:val="BodyText"/>
        <w:numPr>
          <w:ilvl w:val="0"/>
          <w:numId w:val="10"/>
        </w:numPr>
        <w:tabs>
          <w:tab w:val="clear" w:pos="1134"/>
          <w:tab w:val="left" w:pos="709" w:leader="none"/>
        </w:tabs>
        <w:bidi w:val="0"/>
        <w:spacing w:before="0" w:after="0"/>
        <w:ind w:hanging="283" w:left="709"/>
        <w:jc w:val="left"/>
        <w:rPr/>
      </w:pPr>
      <w:r>
        <w:rPr/>
        <w:t xml:space="preserve">Converting approved open transactions and outstanding balances </w:t>
      </w:r>
    </w:p>
    <w:p>
      <w:pPr>
        <w:pStyle w:val="BodyText"/>
        <w:numPr>
          <w:ilvl w:val="0"/>
          <w:numId w:val="10"/>
        </w:numPr>
        <w:tabs>
          <w:tab w:val="clear" w:pos="1134"/>
          <w:tab w:val="left" w:pos="709" w:leader="none"/>
        </w:tabs>
        <w:bidi w:val="0"/>
        <w:ind w:hanging="283" w:left="709"/>
        <w:jc w:val="left"/>
        <w:rPr/>
      </w:pPr>
      <w:r>
        <w:rPr/>
        <w:t xml:space="preserve">Performing the planned master data conversion </w:t>
      </w:r>
    </w:p>
    <w:p>
      <w:pPr>
        <w:pStyle w:val="Heading3"/>
        <w:bidi w:val="0"/>
        <w:jc w:val="left"/>
        <w:rPr/>
      </w:pPr>
      <w:r>
        <w:rPr/>
        <w:t>Question 11</w:t>
      </w:r>
    </w:p>
    <w:p>
      <w:pPr>
        <w:pStyle w:val="BodyText"/>
        <w:bidi w:val="0"/>
        <w:jc w:val="left"/>
        <w:rPr/>
      </w:pPr>
      <w:r>
        <w:rPr/>
        <w:t xml:space="preserve">Select all that apply: Which of these documents must be APPROVED before System Integration Testing (SIT) commences? </w:t>
      </w:r>
      <w:r>
        <w:rPr>
          <w:i/>
        </w:rPr>
        <w:t>(select all that apply)</w:t>
      </w:r>
    </w:p>
    <w:p>
      <w:pPr>
        <w:pStyle w:val="BodyText"/>
        <w:numPr>
          <w:ilvl w:val="0"/>
          <w:numId w:val="11"/>
        </w:numPr>
        <w:tabs>
          <w:tab w:val="clear" w:pos="1134"/>
          <w:tab w:val="left" w:pos="709" w:leader="none"/>
        </w:tabs>
        <w:bidi w:val="0"/>
        <w:spacing w:before="0" w:after="0"/>
        <w:ind w:hanging="283" w:left="709"/>
        <w:jc w:val="left"/>
        <w:rPr/>
      </w:pPr>
      <w:r>
        <w:rPr/>
        <w:t xml:space="preserve">Requirement Traceability Matrix (RTM) </w:t>
      </w:r>
    </w:p>
    <w:p>
      <w:pPr>
        <w:pStyle w:val="BodyText"/>
        <w:numPr>
          <w:ilvl w:val="0"/>
          <w:numId w:val="11"/>
        </w:numPr>
        <w:tabs>
          <w:tab w:val="clear" w:pos="1134"/>
          <w:tab w:val="left" w:pos="709" w:leader="none"/>
        </w:tabs>
        <w:bidi w:val="0"/>
        <w:spacing w:before="0" w:after="0"/>
        <w:ind w:hanging="283" w:left="709"/>
        <w:jc w:val="left"/>
        <w:rPr/>
      </w:pPr>
      <w:r>
        <w:rPr/>
        <w:t xml:space="preserve">Solution Design Document (SDD) </w:t>
      </w:r>
    </w:p>
    <w:p>
      <w:pPr>
        <w:pStyle w:val="BodyText"/>
        <w:numPr>
          <w:ilvl w:val="0"/>
          <w:numId w:val="11"/>
        </w:numPr>
        <w:tabs>
          <w:tab w:val="clear" w:pos="1134"/>
          <w:tab w:val="left" w:pos="709" w:leader="none"/>
        </w:tabs>
        <w:bidi w:val="0"/>
        <w:spacing w:before="0" w:after="0"/>
        <w:ind w:hanging="283" w:left="709"/>
        <w:jc w:val="left"/>
        <w:rPr/>
      </w:pPr>
      <w:r>
        <w:rPr/>
        <w:t xml:space="preserve">Configuration Workbook (CWB) </w:t>
      </w:r>
    </w:p>
    <w:p>
      <w:pPr>
        <w:pStyle w:val="BodyText"/>
        <w:numPr>
          <w:ilvl w:val="0"/>
          <w:numId w:val="11"/>
        </w:numPr>
        <w:tabs>
          <w:tab w:val="clear" w:pos="1134"/>
          <w:tab w:val="left" w:pos="709" w:leader="none"/>
        </w:tabs>
        <w:bidi w:val="0"/>
        <w:ind w:hanging="283" w:left="709"/>
        <w:jc w:val="left"/>
        <w:rPr/>
      </w:pPr>
      <w:r>
        <w:rPr/>
        <w:t xml:space="preserve">Functional Test Scripts and Scenario Mapping </w:t>
      </w:r>
    </w:p>
    <w:p>
      <w:pPr>
        <w:pStyle w:val="Heading3"/>
        <w:bidi w:val="0"/>
        <w:jc w:val="left"/>
        <w:rPr/>
      </w:pPr>
      <w:r>
        <w:rPr/>
        <w:t>Question 12</w:t>
      </w:r>
    </w:p>
    <w:p>
      <w:pPr>
        <w:pStyle w:val="BodyText"/>
        <w:bidi w:val="0"/>
        <w:jc w:val="left"/>
        <w:rPr/>
      </w:pPr>
      <w:r>
        <w:rPr/>
        <w:t xml:space="preserve">Select all that apply: A material trade-off on the committed Go-Live date is under discussion. According to the Key Role Boundaries, which statements are correct? </w:t>
      </w:r>
      <w:r>
        <w:rPr>
          <w:i/>
        </w:rPr>
        <w:t>(select all that apply)</w:t>
      </w:r>
    </w:p>
    <w:p>
      <w:pPr>
        <w:pStyle w:val="BodyText"/>
        <w:numPr>
          <w:ilvl w:val="0"/>
          <w:numId w:val="12"/>
        </w:numPr>
        <w:tabs>
          <w:tab w:val="clear" w:pos="1134"/>
          <w:tab w:val="left" w:pos="709" w:leader="none"/>
        </w:tabs>
        <w:bidi w:val="0"/>
        <w:spacing w:before="0" w:after="0"/>
        <w:ind w:hanging="283" w:left="709"/>
        <w:jc w:val="left"/>
        <w:rPr/>
      </w:pPr>
      <w:r>
        <w:rPr/>
        <w:t xml:space="preserve">The Enterprise Architect provides the solution, quality, risk, and delivery recommendation </w:t>
      </w:r>
    </w:p>
    <w:p>
      <w:pPr>
        <w:pStyle w:val="BodyText"/>
        <w:numPr>
          <w:ilvl w:val="0"/>
          <w:numId w:val="12"/>
        </w:numPr>
        <w:tabs>
          <w:tab w:val="clear" w:pos="1134"/>
          <w:tab w:val="left" w:pos="709" w:leader="none"/>
        </w:tabs>
        <w:bidi w:val="0"/>
        <w:spacing w:before="0" w:after="0"/>
        <w:ind w:hanging="283" w:left="709"/>
        <w:jc w:val="left"/>
        <w:rPr/>
      </w:pPr>
      <w:r>
        <w:rPr/>
        <w:t xml:space="preserve">The Project Manager provides the schedule, budget, scope, governance, and execution impact </w:t>
      </w:r>
    </w:p>
    <w:p>
      <w:pPr>
        <w:pStyle w:val="BodyText"/>
        <w:numPr>
          <w:ilvl w:val="0"/>
          <w:numId w:val="12"/>
        </w:numPr>
        <w:tabs>
          <w:tab w:val="clear" w:pos="1134"/>
          <w:tab w:val="left" w:pos="709" w:leader="none"/>
        </w:tabs>
        <w:bidi w:val="0"/>
        <w:spacing w:before="0" w:after="0"/>
        <w:ind w:hanging="283" w:left="709"/>
        <w:jc w:val="left"/>
        <w:rPr/>
      </w:pPr>
      <w:r>
        <w:rPr/>
        <w:t xml:space="preserve">A Workstream Lead may independently commit to the new date for their own workstream </w:t>
      </w:r>
    </w:p>
    <w:p>
      <w:pPr>
        <w:pStyle w:val="BodyText"/>
        <w:numPr>
          <w:ilvl w:val="0"/>
          <w:numId w:val="12"/>
        </w:numPr>
        <w:tabs>
          <w:tab w:val="clear" w:pos="1134"/>
          <w:tab w:val="left" w:pos="709" w:leader="none"/>
        </w:tabs>
        <w:bidi w:val="0"/>
        <w:ind w:hanging="283" w:left="709"/>
        <w:jc w:val="left"/>
        <w:rPr/>
      </w:pPr>
      <w:r>
        <w:rPr/>
        <w:t xml:space="preserve">Where required, the appropriate client or Steering Committee authority approves the decision </w:t>
      </w:r>
      <w:r>
        <w:br w:type="page"/>
      </w:r>
    </w:p>
    <w:p>
      <w:pPr>
        <w:pStyle w:val="Heading2"/>
        <w:bidi w:val="0"/>
        <w:ind w:hanging="0" w:left="0" w:right="0"/>
        <w:jc w:val="left"/>
        <w:rPr/>
      </w:pPr>
      <w:r>
        <w:rPr/>
        <w:t>Answer key</w:t>
      </w:r>
    </w:p>
    <w:p>
      <w:pPr>
        <w:pStyle w:val="BodyText"/>
        <w:numPr>
          <w:ilvl w:val="0"/>
          <w:numId w:val="13"/>
        </w:numPr>
        <w:tabs>
          <w:tab w:val="clear" w:pos="1134"/>
          <w:tab w:val="left" w:pos="709" w:leader="none"/>
        </w:tabs>
        <w:bidi w:val="0"/>
        <w:spacing w:before="0" w:after="0"/>
        <w:ind w:hanging="283" w:left="709"/>
        <w:jc w:val="left"/>
        <w:rPr/>
      </w:pPr>
      <w:r>
        <w:rPr>
          <w:b/>
        </w:rPr>
        <w:t>B</w:t>
      </w:r>
      <w:r>
        <w:rPr/>
        <w:t xml:space="preserve"> — Rollout is defined as expanding an existing implementation to new geographies, business units, or legal entities using a predefined global template with localizations. </w:t>
      </w:r>
    </w:p>
    <w:p>
      <w:pPr>
        <w:pStyle w:val="BodyText"/>
        <w:numPr>
          <w:ilvl w:val="0"/>
          <w:numId w:val="13"/>
        </w:numPr>
        <w:tabs>
          <w:tab w:val="clear" w:pos="1134"/>
          <w:tab w:val="left" w:pos="709" w:leader="none"/>
        </w:tabs>
        <w:bidi w:val="0"/>
        <w:spacing w:before="0" w:after="0"/>
        <w:ind w:hanging="283" w:left="709"/>
        <w:jc w:val="left"/>
        <w:rPr/>
      </w:pPr>
      <w:r>
        <w:rPr>
          <w:b/>
        </w:rPr>
        <w:t>C</w:t>
      </w:r>
      <w:r>
        <w:rPr/>
        <w:t xml:space="preserve"> — The document defines RICEFW as Reports, Integrations, Conversions, Extensions, Forms, Workflows. </w:t>
      </w:r>
    </w:p>
    <w:p>
      <w:pPr>
        <w:pStyle w:val="BodyText"/>
        <w:numPr>
          <w:ilvl w:val="0"/>
          <w:numId w:val="13"/>
        </w:numPr>
        <w:tabs>
          <w:tab w:val="clear" w:pos="1134"/>
          <w:tab w:val="left" w:pos="709" w:leader="none"/>
        </w:tabs>
        <w:bidi w:val="0"/>
        <w:spacing w:before="0" w:after="0"/>
        <w:ind w:hanging="283" w:left="709"/>
        <w:jc w:val="left"/>
        <w:rPr/>
      </w:pPr>
      <w:r>
        <w:rPr>
          <w:b/>
        </w:rPr>
        <w:t>D</w:t>
      </w:r>
      <w:r>
        <w:rPr/>
        <w:t xml:space="preserve"> — The Enterprise Architect is repeatedly named as accountable for the Go-Live recommendation, supported by objective readiness evidence. </w:t>
      </w:r>
    </w:p>
    <w:p>
      <w:pPr>
        <w:pStyle w:val="BodyText"/>
        <w:numPr>
          <w:ilvl w:val="0"/>
          <w:numId w:val="13"/>
        </w:numPr>
        <w:tabs>
          <w:tab w:val="clear" w:pos="1134"/>
          <w:tab w:val="left" w:pos="709" w:leader="none"/>
        </w:tabs>
        <w:bidi w:val="0"/>
        <w:spacing w:before="0" w:after="0"/>
        <w:ind w:hanging="283" w:left="709"/>
        <w:jc w:val="left"/>
        <w:rPr/>
      </w:pPr>
      <w:r>
        <w:rPr>
          <w:b/>
        </w:rPr>
        <w:t>B</w:t>
      </w:r>
      <w:r>
        <w:rPr/>
        <w:t xml:space="preserve"> — The RTM is prepared and updated by Functional Architects only; SMEs review and must route all feedback to the Architects (change control applies only to already-approved rows). </w:t>
      </w:r>
    </w:p>
    <w:p>
      <w:pPr>
        <w:pStyle w:val="BodyText"/>
        <w:numPr>
          <w:ilvl w:val="0"/>
          <w:numId w:val="13"/>
        </w:numPr>
        <w:tabs>
          <w:tab w:val="clear" w:pos="1134"/>
          <w:tab w:val="left" w:pos="709" w:leader="none"/>
        </w:tabs>
        <w:bidi w:val="0"/>
        <w:spacing w:before="0" w:after="0"/>
        <w:ind w:hanging="283" w:left="709"/>
        <w:jc w:val="left"/>
        <w:rPr/>
      </w:pPr>
      <w:r>
        <w:rPr>
          <w:b/>
        </w:rPr>
        <w:t>B</w:t>
      </w:r>
      <w:r>
        <w:rPr/>
        <w:t xml:space="preserve"> — The policy requires fixes only in non-UAT dev environments and that the validated UAT package be the identical, authoritative package promoted to PROD; direct fixes in UAT or during PROD deployment are strictly prohibited. </w:t>
      </w:r>
    </w:p>
    <w:p>
      <w:pPr>
        <w:pStyle w:val="BodyText"/>
        <w:numPr>
          <w:ilvl w:val="0"/>
          <w:numId w:val="13"/>
        </w:numPr>
        <w:tabs>
          <w:tab w:val="clear" w:pos="1134"/>
          <w:tab w:val="left" w:pos="709" w:leader="none"/>
        </w:tabs>
        <w:bidi w:val="0"/>
        <w:spacing w:before="0" w:after="0"/>
        <w:ind w:hanging="283" w:left="709"/>
        <w:jc w:val="left"/>
        <w:rPr/>
      </w:pPr>
      <w:r>
        <w:rPr>
          <w:b/>
        </w:rPr>
        <w:t>C</w:t>
      </w:r>
      <w:r>
        <w:rPr/>
        <w:t xml:space="preserve"> — The WDD does not require formal client approval but must be reviewed internally with the SDM and/or PM before presentation. </w:t>
      </w:r>
    </w:p>
    <w:p>
      <w:pPr>
        <w:pStyle w:val="BodyText"/>
        <w:numPr>
          <w:ilvl w:val="0"/>
          <w:numId w:val="13"/>
        </w:numPr>
        <w:tabs>
          <w:tab w:val="clear" w:pos="1134"/>
          <w:tab w:val="left" w:pos="709" w:leader="none"/>
        </w:tabs>
        <w:bidi w:val="0"/>
        <w:spacing w:before="0" w:after="0"/>
        <w:ind w:hanging="283" w:left="709"/>
        <w:jc w:val="left"/>
        <w:rPr/>
      </w:pPr>
      <w:r>
        <w:rPr>
          <w:b/>
        </w:rPr>
        <w:t>B</w:t>
      </w:r>
      <w:r>
        <w:rPr/>
        <w:t xml:space="preserve"> — Every row must eventually have a Summarized Requirement and reach Approved status; adopted standard functionality gets the specific 'Standard Functionality Accepted' wording, while 'Capability Not Required' is reserved for capabilities that will not be used. </w:t>
      </w:r>
    </w:p>
    <w:p>
      <w:pPr>
        <w:pStyle w:val="BodyText"/>
        <w:numPr>
          <w:ilvl w:val="0"/>
          <w:numId w:val="13"/>
        </w:numPr>
        <w:tabs>
          <w:tab w:val="clear" w:pos="1134"/>
          <w:tab w:val="left" w:pos="709" w:leader="none"/>
        </w:tabs>
        <w:bidi w:val="0"/>
        <w:spacing w:before="0" w:after="0"/>
        <w:ind w:hanging="283" w:left="709"/>
        <w:jc w:val="left"/>
        <w:rPr/>
      </w:pPr>
      <w:r>
        <w:rPr>
          <w:b/>
        </w:rPr>
        <w:t>A</w:t>
      </w:r>
      <w:r>
        <w:rPr/>
        <w:t xml:space="preserve"> — The guidelines forbid deleting from in-between or reordering swim lanes and give exactly this example: if only 4 lanes are required, delete Lanes 5 and 6. </w:t>
      </w:r>
    </w:p>
    <w:p>
      <w:pPr>
        <w:pStyle w:val="BodyText"/>
        <w:numPr>
          <w:ilvl w:val="0"/>
          <w:numId w:val="13"/>
        </w:numPr>
        <w:tabs>
          <w:tab w:val="clear" w:pos="1134"/>
          <w:tab w:val="left" w:pos="709" w:leader="none"/>
        </w:tabs>
        <w:bidi w:val="0"/>
        <w:spacing w:before="0" w:after="0"/>
        <w:ind w:hanging="283" w:left="709"/>
        <w:jc w:val="left"/>
        <w:rPr/>
      </w:pPr>
      <w:r>
        <w:rPr>
          <w:b/>
        </w:rPr>
        <w:t>B</w:t>
      </w:r>
      <w:r>
        <w:rPr/>
        <w:t xml:space="preserve"> — The TKDD explicitly captures program-level architectural decisions while object-level technical design for each RICEFW component lives in the TRDD; architecture flows are expressly not detailed specifications. </w:t>
      </w:r>
    </w:p>
    <w:p>
      <w:pPr>
        <w:pStyle w:val="BodyText"/>
        <w:numPr>
          <w:ilvl w:val="0"/>
          <w:numId w:val="13"/>
        </w:numPr>
        <w:tabs>
          <w:tab w:val="clear" w:pos="1134"/>
          <w:tab w:val="left" w:pos="709" w:leader="none"/>
        </w:tabs>
        <w:bidi w:val="0"/>
        <w:spacing w:before="0" w:after="0"/>
        <w:ind w:hanging="283" w:left="709"/>
        <w:jc w:val="left"/>
        <w:rPr/>
      </w:pPr>
      <w:r>
        <w:rPr>
          <w:b/>
        </w:rPr>
        <w:t>A, C</w:t>
      </w:r>
      <w:r>
        <w:rPr/>
        <w:t xml:space="preserve"> — Blackout Cutover covers incremental master data and open-transaction conversion plus activation, while RICEFW deployment and the planned master data conversion happen in Pre-Blackout Cutover. </w:t>
      </w:r>
    </w:p>
    <w:p>
      <w:pPr>
        <w:pStyle w:val="BodyText"/>
        <w:numPr>
          <w:ilvl w:val="0"/>
          <w:numId w:val="13"/>
        </w:numPr>
        <w:tabs>
          <w:tab w:val="clear" w:pos="1134"/>
          <w:tab w:val="left" w:pos="709" w:leader="none"/>
        </w:tabs>
        <w:bidi w:val="0"/>
        <w:spacing w:before="0" w:after="0"/>
        <w:ind w:hanging="283" w:left="709"/>
        <w:jc w:val="left"/>
        <w:rPr/>
      </w:pPr>
      <w:r>
        <w:rPr>
          <w:b/>
        </w:rPr>
        <w:t>A, B, D</w:t>
      </w:r>
      <w:r>
        <w:rPr/>
        <w:t xml:space="preserve"> — The RTM, SDD, and Functional Test Scripts must be approved before SIT, whereas the CWB is only reviewed before SIT/UAT and needs approval only before PROD — the trap for skimmers. </w:t>
      </w:r>
    </w:p>
    <w:p>
      <w:pPr>
        <w:pStyle w:val="BodyText"/>
        <w:numPr>
          <w:ilvl w:val="0"/>
          <w:numId w:val="13"/>
        </w:numPr>
        <w:tabs>
          <w:tab w:val="clear" w:pos="1134"/>
          <w:tab w:val="left" w:pos="709" w:leader="none"/>
        </w:tabs>
        <w:bidi w:val="0"/>
        <w:spacing w:before="0" w:after="283"/>
        <w:ind w:hanging="283" w:left="709"/>
        <w:jc w:val="left"/>
        <w:rPr/>
      </w:pPr>
      <w:r>
        <w:rPr>
          <w:b/>
        </w:rPr>
        <w:t>A, B, D</w:t>
      </w:r>
      <w:r>
        <w:rPr/>
        <w:t xml:space="preserve"> — Material trade-offs require a coordinated EA + PM assessment with client/Steering approval where required, and Workstream Leads may not independently change committed dates without EA and PM governance.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Arial"/>
    <w:charset w:val="00"/>
    <w:family w:val="auto"/>
    <w:pitch w:val="default"/>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2">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3">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4">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5">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6">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7">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8">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9">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10">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11">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12">
    <w:lvl w:ilvl="0">
      <w:start w:val="1"/>
      <w:numFmt w:val="upperLetter"/>
      <w:lvlText w:val="%1."/>
      <w:lvlJc w:val="left"/>
      <w:pPr>
        <w:tabs>
          <w:tab w:val="num" w:pos="709"/>
        </w:tabs>
        <w:ind w:left="709" w:hanging="283"/>
      </w:pPr>
      <w:rPr/>
    </w:lvl>
    <w:lvl w:ilvl="1">
      <w:start w:val="1"/>
      <w:numFmt w:val="upperLetter"/>
      <w:lvlText w:val="%2."/>
      <w:lvlJc w:val="left"/>
      <w:pPr>
        <w:tabs>
          <w:tab w:val="num" w:pos="1418"/>
        </w:tabs>
        <w:ind w:left="1418" w:hanging="283"/>
      </w:pPr>
      <w:rPr/>
    </w:lvl>
    <w:lvl w:ilvl="2">
      <w:start w:val="1"/>
      <w:numFmt w:val="upperLetter"/>
      <w:lvlText w:val="%3."/>
      <w:lvlJc w:val="left"/>
      <w:pPr>
        <w:tabs>
          <w:tab w:val="num" w:pos="2127"/>
        </w:tabs>
        <w:ind w:left="2127" w:hanging="283"/>
      </w:pPr>
      <w:rPr/>
    </w:lvl>
    <w:lvl w:ilvl="3">
      <w:start w:val="1"/>
      <w:numFmt w:val="upperLetter"/>
      <w:lvlText w:val="%4."/>
      <w:lvlJc w:val="left"/>
      <w:pPr>
        <w:tabs>
          <w:tab w:val="num" w:pos="2836"/>
        </w:tabs>
        <w:ind w:left="2836" w:hanging="283"/>
      </w:pPr>
      <w:rPr/>
    </w:lvl>
    <w:lvl w:ilvl="4">
      <w:start w:val="1"/>
      <w:numFmt w:val="upperLetter"/>
      <w:lvlText w:val="%5."/>
      <w:lvlJc w:val="left"/>
      <w:pPr>
        <w:tabs>
          <w:tab w:val="num" w:pos="3545"/>
        </w:tabs>
        <w:ind w:left="3545" w:hanging="283"/>
      </w:pPr>
      <w:rPr/>
    </w:lvl>
    <w:lvl w:ilvl="5">
      <w:start w:val="1"/>
      <w:numFmt w:val="upperLetter"/>
      <w:lvlText w:val="%6."/>
      <w:lvlJc w:val="left"/>
      <w:pPr>
        <w:tabs>
          <w:tab w:val="num" w:pos="4254"/>
        </w:tabs>
        <w:ind w:left="4254" w:hanging="283"/>
      </w:pPr>
      <w:rPr/>
    </w:lvl>
    <w:lvl w:ilvl="6">
      <w:start w:val="1"/>
      <w:numFmt w:val="upperLetter"/>
      <w:lvlText w:val="%7."/>
      <w:lvlJc w:val="left"/>
      <w:pPr>
        <w:tabs>
          <w:tab w:val="num" w:pos="4963"/>
        </w:tabs>
        <w:ind w:left="4963" w:hanging="283"/>
      </w:pPr>
      <w:rPr/>
    </w:lvl>
    <w:lvl w:ilvl="7">
      <w:start w:val="1"/>
      <w:numFmt w:val="upperLetter"/>
      <w:lvlText w:val="%8."/>
      <w:lvlJc w:val="left"/>
      <w:pPr>
        <w:tabs>
          <w:tab w:val="num" w:pos="5672"/>
        </w:tabs>
        <w:ind w:left="5672" w:hanging="283"/>
      </w:pPr>
      <w:rPr/>
    </w:lvl>
    <w:lvl w:ilvl="8">
      <w:start w:val="1"/>
      <w:numFmt w:val="upperLetter"/>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26"/>
      <w:szCs w:val="2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