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val="clear" w:color="auto" w:fill="1f4e79"/>
            <w:tcMar>
              <w:top w:w="270" w:type="dxa"/>
              <w:left w:w="360" w:type="dxa"/>
              <w:bottom w:w="270" w:type="dxa"/>
              <w:right w:w="36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 xml:space="preserve"> </w:t>
            </w:r>
          </w:p>
          <w:p>
            <w:r>
              <w:rPr>
                <w:rFonts w:ascii="Calibri" w:hAnsi="Calibri" w:eastAsia="Calibri"/>
                <w:b/>
                <w:i w:val="0"/>
                <w:color w:val="FFFFFF"/>
                <w:sz w:val="40"/>
              </w:rPr>
              <w:t>Checklist — Jour de début de session</w:t>
            </w:r>
          </w:p>
          <w:p>
            <w:pPr>
              <w:spacing w:before="60"/>
            </w:pPr>
            <w:r>
              <w:rPr>
                <w:rFonts w:ascii="Calibri" w:hAnsi="Calibri" w:eastAsia="Calibri"/>
                <w:b w:val="0"/>
                <w:i w:val="0"/>
                <w:color w:val="D6E4F0"/>
                <w:sz w:val="21"/>
              </w:rPr>
              <w:t>Projet TEFIALA — Programme d'incubation Paysage Bas Mangoky (PBM) · Lot 2 — FAO RFP 2026/RFP/ULA/097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999999" w:space="0"/>
          <w:left w:val="single" w:sz="6" w:color="999999" w:space="0"/>
          <w:bottom w:val="single" w:sz="6" w:color="999999" w:space="0"/>
          <w:right w:val="single" w:sz="6" w:color="999999" w:space="0"/>
          <w:insideH w:val="single" w:sz="6" w:color="cccccc" w:space="0"/>
          <w:insideV w:val="single" w:sz="6" w:color="cccccc" w:space="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  <w:shd w:val="clear" w:color="auto" w:fill="eff6ff"/>
              </w:rPr>
              <w:t>Mission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MISSION-LOT2-PBM-P2 — Programme d'incubation – Paysage Bas Mangoky (PBM), programme 2 sur 2</w:t>
            </w:r>
          </w:p>
        </w:tc>
      </w:tr>
      <w:tr>
        <w:tc>
          <w:tcPr>
            <w:tcW w:type="dxa" w:w="4320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  <w:shd w:val="clear" w:color="auto" w:fill="eff6ff"/>
              </w:rPr>
              <w:t>Session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ab4072cd-6a39-43f3-9976-500fd65f695e</w:t>
            </w:r>
          </w:p>
        </w:tc>
      </w:tr>
      <w:tr>
        <w:tc>
          <w:tcPr>
            <w:tcW w:type="dxa" w:w="4320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  <w:shd w:val="clear" w:color="auto" w:fill="eff6ff"/>
              </w:rPr>
              <w:t>Date prévue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2026-10-01</w:t>
            </w:r>
          </w:p>
        </w:tc>
      </w:tr>
      <w:tr>
        <w:tc>
          <w:tcPr>
            <w:tcW w:type="dxa" w:w="4320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  <w:shd w:val="clear" w:color="auto" w:fill="eff6ff"/>
              </w:rPr>
              <w:t>Lieu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Toliara</w:t>
            </w:r>
          </w:p>
        </w:tc>
      </w:tr>
      <w:tr>
        <w:tc>
          <w:tcPr>
            <w:tcW w:type="dxa" w:w="4320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  <w:shd w:val="clear" w:color="auto" w:fill="eff6ff"/>
              </w:rPr>
              <w:t>Statut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Planifiée</w:t>
            </w:r>
          </w:p>
        </w:tc>
      </w:tr>
    </w:tbl>
    <w:p>
      <w:pPr>
        <w:spacing w:before="360" w:after="60"/>
        <w:pBdr>
          <w:bottom w:val="single" w:sz="12" w:space="4" w:color="1f4e79"/>
        </w:pBdr>
      </w:pPr>
      <w:r>
        <w:rPr>
          <w:rFonts w:ascii="Calibri" w:hAnsi="Calibri" w:eastAsia="Calibri"/>
          <w:b/>
          <w:i w:val="0"/>
          <w:color w:val="1F4E79"/>
          <w:sz w:val="28"/>
        </w:rPr>
        <w:t>Objet</w:t>
      </w:r>
    </w:p>
    <w:p>
      <w:r>
        <w:rPr>
          <w:rFonts w:ascii="Calibri" w:hAnsi="Calibri" w:eastAsia="Calibri"/>
          <w:b w:val="0"/>
          <w:i w:val="0"/>
          <w:color w:val="1F2937"/>
          <w:sz w:val="22"/>
        </w:rPr>
        <w:t>Cette checklist couvre le jour de début de la session de formation du projet TEFIALA. Elle sert de support de préparation, d'accueil/émargement et de clôture de la première journée. Chaque case est à cocher et, le cas échéant, à dater et parapher par le responsable de session.</w:t>
      </w:r>
    </w:p>
    <w:p>
      <w:pPr>
        <w:spacing w:before="360" w:after="60"/>
        <w:pBdr>
          <w:bottom w:val="single" w:sz="12" w:space="4" w:color="1f4e79"/>
        </w:pBdr>
      </w:pPr>
      <w:r>
        <w:rPr>
          <w:rFonts w:ascii="Calibri" w:hAnsi="Calibri" w:eastAsia="Calibri"/>
          <w:b/>
          <w:i w:val="0"/>
          <w:color w:val="1F4E79"/>
          <w:sz w:val="28"/>
        </w:rPr>
        <w:t>Points de contrôle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999999" w:space="0"/>
          <w:left w:val="single" w:sz="6" w:color="999999" w:space="0"/>
          <w:bottom w:val="single" w:sz="6" w:color="999999" w:space="0"/>
          <w:right w:val="single" w:sz="6" w:color="999999" w:space="0"/>
          <w:insideH w:val="single" w:sz="6" w:color="cccccc" w:space="0"/>
          <w:insideV w:val="single" w:sz="6" w:color="cccccc" w:space="0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  <w:shd w:val="clear" w:color="auto" w:fill="1f4e79"/>
              </w:rPr>
              <w:t>Phase 1 — Avant la session (J-1)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Confirmer la salle à Toliara et sa capacité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Vérifier le matériel : vidéoprojecteur, sono, rallonges, paperboard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Imprimer les fiches de présence et la liste des bénéficiaires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Préparer les kits pédagogiques et supports de formation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Confirmer la présence des formateurs de l'équipe mission (noms à compléter — équipe non lue)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Prévoir rafraîchissements / pause café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Vérifier la connectivité (si session hybride)</w:t>
            </w:r>
          </w:p>
        </w:tc>
      </w:tr>
      <w:tr>
        <w:tc>
          <w:tcPr>
            <w:tcW w:type="dxa" w:w="8640"/>
            <w:gridSpan w:val="2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  <w:shd w:val="clear" w:color="auto" w:fill="1f4e79"/>
              </w:rPr>
              <w:t>Phase 2 — Accueil et émargement (matin)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Mise en place de la table d'accueil dès 30 min avant le début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Émargement des bénéficiaires sur fiche de présence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Remise des badges / kits aux participants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Point de présence transmis après la première pause</w:t>
            </w:r>
          </w:p>
        </w:tc>
      </w:tr>
      <w:tr>
        <w:tc>
          <w:tcPr>
            <w:tcW w:type="dxa" w:w="8640"/>
            <w:gridSpan w:val="2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  <w:shd w:val="clear" w:color="auto" w:fill="1f4e79"/>
              </w:rPr>
              <w:t>Phase 3 — Bénéficiaires inscrits à la session (à l'émargement)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2937"/>
                <w:sz w:val="21"/>
              </w:rPr>
              <w:t>Arisoa Rakoto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 xml:space="preserve"> — FAO — id. externe : 501011041858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2937"/>
                <w:sz w:val="21"/>
              </w:rPr>
              <w:t>RASOAMANANDRAY Josephine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 xml:space="preserve"> — FAO — id. externe : (à compléter)</w:t>
            </w:r>
          </w:p>
        </w:tc>
      </w:tr>
      <w:tr>
        <w:tc>
          <w:tcPr>
            <w:tcW w:type="dxa" w:w="8640"/>
            <w:gridSpan w:val="2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  <w:shd w:val="clear" w:color="auto" w:fill="1f4e79"/>
              </w:rPr>
              <w:t>Phase 4 — Démarrage pédagogique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Mot de bienvenue et présentation du programme (Lot 2 — PBM, projet TEFIALA)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Tour de table de présentation des participants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Présentation des objectifs et du déroulé de la session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Rappel des règles de fonctionnement (ponctualité, participation, évaluation)</w:t>
            </w:r>
          </w:p>
        </w:tc>
      </w:tr>
      <w:tr>
        <w:tc>
          <w:tcPr>
            <w:tcW w:type="dxa" w:w="8640"/>
            <w:gridSpan w:val="2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  <w:shd w:val="clear" w:color="auto" w:fill="1f4e79"/>
              </w:rPr>
              <w:t>Phase 5 — Clôture de journée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Émargement de fin de journée / vérification des présences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Collecte des questions en attente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Rappel du programme du lendemain</w:t>
            </w:r>
          </w:p>
        </w:tc>
      </w:tr>
      <w:tr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  <w:shd w:val="clear" w:color="auto" w:fill="f2f6fc"/>
              </w:rPr>
              <w:t>☐</w:t>
            </w:r>
          </w:p>
        </w:tc>
        <w:tc>
          <w:tcPr>
            <w:tcW w:type="dxa" w:w="4320"/>
            <w:shd w:val="clear" w:color="auto" w:fill="f2f6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  <w:shd w:val="clear" w:color="auto" w:fill="f2f6fc"/>
              </w:rPr>
              <w:t>Rangement de la salle et du matériel</w:t>
            </w:r>
          </w:p>
        </w:tc>
      </w:tr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4E79"/>
                <w:sz w:val="28"/>
              </w:rPr>
              <w:t>☐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1"/>
              </w:rPr>
              <w:t>Compte rendu de journée (effectif, incidents, ajustements)</w:t>
            </w:r>
          </w:p>
        </w:tc>
      </w:tr>
    </w:tbl>
    <w:p>
      <w:pPr>
        <w:spacing w:after="0" w:before="0"/>
      </w:pPr>
      <w:r>
        <w:rPr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9" w:color="b45309" w:space="0"/>
          <w:left w:val="single" w:sz="9" w:color="b45309" w:space="0"/>
          <w:bottom w:val="single" w:sz="9" w:color="b45309" w:space="0"/>
          <w:right w:val="single" w:sz="9" w:color="b45309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val="clear" w:color="auto" w:fill="fef3c7"/>
            <w:tcMar>
              <w:top w:w="150" w:type="dxa"/>
              <w:left w:w="210" w:type="dxa"/>
              <w:bottom w:w="150" w:type="dxa"/>
              <w:right w:w="21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92400E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92400E"/>
                <w:sz w:val="20"/>
              </w:rPr>
              <w:t>⚠ Import en attente :</w:t>
            </w:r>
            <w:r>
              <w:rPr>
                <w:rFonts w:ascii="Calibri" w:hAnsi="Calibri" w:eastAsia="Calibri"/>
                <w:b w:val="0"/>
                <w:i w:val="0"/>
                <w:color w:val="92400E"/>
                <w:sz w:val="20"/>
              </w:rPr>
              <w:t xml:space="preserve"> l'import des bénéficiaires du classeur « Liste des élèves du 12ème A » (3 lignes valides) est resté en aperçu — l'enregistrement final reste à faire par l'utilisateur. La liste ci-dessus reflète uniquement les inscrits actuels de la session. </w:t>
            </w:r>
          </w:p>
        </w:tc>
      </w:tr>
    </w:tbl>
    <w:p>
      <w:pPr>
        <w:spacing w:after="0" w:before="0"/>
      </w:pPr>
      <w:r>
        <w:rPr>
          <w:sz w:val="21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999999" w:space="0"/>
          <w:left w:val="single" w:sz="6" w:color="999999" w:space="0"/>
          <w:bottom w:val="single" w:sz="6" w:color="999999" w:space="0"/>
          <w:right w:val="single" w:sz="6" w:color="999999" w:space="0"/>
          <w:insideH w:val="single" w:sz="6" w:color="cccccc" w:space="0"/>
          <w:insideV w:val="single" w:sz="6" w:color="cccccc" w:space="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2937"/>
                <w:sz w:val="20"/>
              </w:rPr>
              <w:t>Responsable de session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 xml:space="preserve"> — Nom / signature :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F2937"/>
                <w:sz w:val="20"/>
              </w:rPr>
              <w:t>Validation CARSO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 xml:space="preserve"> — Date / visa :</w:t>
            </w:r>
          </w:p>
        </w:tc>
      </w:tr>
    </w:tbl>
    <w:p>
      <w:pPr>
        <w:spacing w:before="270"/>
      </w:pPr>
      <w:r>
        <w:rPr>
          <w:rFonts w:ascii="Calibri" w:hAnsi="Calibri" w:eastAsia="Calibri"/>
          <w:b w:val="0"/>
          <w:i/>
          <w:color w:val="6B7280"/>
          <w:sz w:val="19"/>
        </w:rPr>
        <w:t>Note : l'équipe de la mission n'a pas pu être lue (identifiant mission non UUID) — les points de contrôle formateurs sont à compléter avec les noms réels. Document proposé — non officiel avant validation humaine.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