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val="clear" w:color="auto" w:fill="1f4e79"/>
            <w:tcMar>
              <w:top w:w="480" w:type="dxa"/>
              <w:left w:w="480" w:type="dxa"/>
              <w:bottom w:w="480" w:type="dxa"/>
              <w:right w:w="480" w:type="dxa"/>
            </w:tcMar>
          </w:tcPr>
          <w:p>
            <w:r/>
            <w:r>
              <w:rPr>
                <w:rFonts w:ascii="Calibri" w:hAnsi="Calibri" w:eastAsia="Calibri"/>
                <w:b w:val="0"/>
                <w:i w:val="0"/>
                <w:color w:val="FFFFFF"/>
                <w:sz w:val="21"/>
              </w:rPr>
              <w:t xml:space="preserve"> </w:t>
            </w:r>
          </w:p>
          <w:p>
            <w:pPr>
              <w:spacing w:after="120" w:line="336" w:lineRule="auto"/>
              <w:jc w:val="center"/>
            </w:pPr>
            <w:r>
              <w:rPr>
                <w:rFonts w:ascii="Calibri" w:hAnsi="Calibri" w:eastAsia="Calibri"/>
                <w:b/>
                <w:i w:val="0"/>
                <w:color w:val="FFFFFF"/>
                <w:sz w:val="44"/>
              </w:rPr>
              <w:t>OFFRE TECHNIQUE</w:t>
            </w:r>
          </w:p>
          <w:p>
            <w:pPr>
              <w:spacing w:before="60" w:after="60" w:line="336" w:lineRule="auto"/>
              <w:jc w:val="center"/>
            </w:pPr>
            <w:r>
              <w:rPr>
                <w:rFonts w:ascii="Calibri" w:hAnsi="Calibri" w:eastAsia="Calibri"/>
                <w:b/>
                <w:i w:val="0"/>
                <w:color w:val="FFFFFF"/>
                <w:sz w:val="21"/>
              </w:rPr>
              <w:t>Programme d'incubation – Paysage Bas Mangoky (PBM), Atsimo Andrefana (programme 2 sur 2)</w:t>
            </w:r>
          </w:p>
          <w:p>
            <w:pPr>
              <w:spacing w:before="60" w:after="60" w:line="336" w:lineRule="auto"/>
              <w:jc w:val="center"/>
            </w:pPr>
            <w:r>
              <w:rPr>
                <w:rFonts w:ascii="Calibri" w:hAnsi="Calibri" w:eastAsia="Calibri"/>
                <w:b w:val="0"/>
                <w:i w:val="0"/>
                <w:color w:val="FFFFFF"/>
                <w:sz w:val="21"/>
              </w:rPr>
              <w:t>Lot 2 — Appel à Proposition FAO RFP 2026/RFP/ULA/097</w:t>
            </w:r>
          </w:p>
          <w:p>
            <w:pPr>
              <w:spacing w:before="60" w:after="60" w:line="336" w:lineRule="auto"/>
              <w:jc w:val="center"/>
            </w:pPr>
            <w:r>
              <w:rPr>
                <w:rFonts w:ascii="Calibri" w:hAnsi="Calibri" w:eastAsia="Calibri"/>
                <w:b w:val="0"/>
                <w:i w:val="0"/>
                <w:color w:val="FFFFFF"/>
                <w:sz w:val="21"/>
              </w:rPr>
              <w:t>Projet TEFIALA (GCP/MAG/090/GFF) — Incubation des entreprises vertes</w:t>
            </w:r>
          </w:p>
          <w:p>
            <w:pPr>
              <w:spacing w:before="200" w:after="60" w:line="336" w:lineRule="auto"/>
              <w:jc w:val="center"/>
            </w:pPr>
            <w:r>
              <w:rPr>
                <w:rFonts w:ascii="Calibri" w:hAnsi="Calibri" w:eastAsia="Calibri"/>
                <w:b w:val="0"/>
                <w:i w:val="0"/>
                <w:color w:val="FFFFFF"/>
                <w:sz w:val="21"/>
              </w:rPr>
              <w:t>Soumis par : CARSO — Centre d'Affaires de la Région Sud-Ouest (GIE)</w:t>
            </w:r>
            <w:r>
              <w:br/>
            </w:r>
            <w:r>
              <w:rPr>
                <w:rFonts w:ascii="Calibri" w:hAnsi="Calibri" w:eastAsia="Calibri"/>
                <w:b w:val="0"/>
                <w:i w:val="0"/>
                <w:color w:val="FFFFFF"/>
                <w:sz w:val="21"/>
              </w:rPr>
              <w:t>CCI Tsimenatsy, Toliara 1, Madagascar — carso@carso.mg — +261 34 61 496 36</w:t>
            </w:r>
          </w:p>
          <w:p>
            <w:pPr>
              <w:spacing w:before="160" w:after="60" w:line="336" w:lineRule="auto"/>
              <w:jc w:val="center"/>
            </w:pPr>
            <w:r>
              <w:rPr>
                <w:rFonts w:ascii="Calibri" w:hAnsi="Calibri" w:eastAsia="Calibri"/>
                <w:b w:val="0"/>
                <w:i w:val="0"/>
                <w:color w:val="FFFFFF"/>
                <w:sz w:val="18"/>
              </w:rPr>
              <w:t>Référence interne : OFFRE-TECH-LOT2-PBM-P2 — Version 2</w:t>
            </w:r>
          </w:p>
        </w:tc>
      </w:tr>
    </w:tbl>
    <w:p>
      <w:pPr>
        <w:spacing w:before="320" w:after="120" w:line="336" w:lineRule="auto"/>
      </w:pPr>
      <w:r>
        <w:rPr>
          <w:rFonts w:ascii="Calibri" w:hAnsi="Calibri" w:eastAsia="Calibri"/>
          <w:b/>
          <w:i w:val="0"/>
          <w:color w:val="1F4E79"/>
          <w:sz w:val="28"/>
        </w:rPr>
        <w:t>1. Synthèse de la proposition</w:t>
      </w:r>
    </w:p>
    <w:p>
      <w:pPr>
        <w:spacing w:line="336" w:lineRule="auto"/>
      </w:pPr>
      <w:r>
        <w:rPr>
          <w:rFonts w:ascii="Calibri" w:hAnsi="Calibri" w:eastAsia="Calibri"/>
          <w:b w:val="0"/>
          <w:i w:val="0"/>
          <w:color w:val="1F2933"/>
          <w:sz w:val="21"/>
        </w:rPr>
        <w:t>Le CARSO, Structure d'Appui à l'Entrepreneuriat (SAE) localisée à Toliara, région Atsimo Andrefana, soumet la présente offre technique en réponse au Lot 2 de l'appel à propositions RFP 2026/RFP/ULA/097 de la FAO, portant sur l'organisation et la mise en œuvre du second programme d'incubation du Paysage Bas Mangoky (PBM), dans le cadre de la composante 3, produit 3.1.1, du projet TEFIALA (GEF-7).</w:t>
      </w:r>
    </w:p>
    <w:p>
      <w:pPr>
        <w:spacing w:line="336" w:lineRule="auto"/>
      </w:pPr>
      <w:r>
        <w:rPr>
          <w:rFonts w:ascii="Calibri" w:hAnsi="Calibri" w:eastAsia="Calibri"/>
          <w:b w:val="0"/>
          <w:i w:val="0"/>
          <w:color w:val="1F2933"/>
          <w:sz w:val="21"/>
        </w:rPr>
        <w:t>L'offre couvre le parcours complet d'incubation : ciblage et sélection des incubés, conception et animation des bootcamps de formation entrepreneuriale, coaching individualisé, mise en relation avec les mentors et les acteurs de marché, appui à l'accès au financement et suivi post-incubation, sur une durée maximale de 10 mois à compter de la signature du contrat.</w:t>
      </w:r>
    </w:p>
    <w:p>
      <w:pPr>
        <w:spacing w:after="0" w:before="0"/>
      </w:pPr>
      <w:r>
        <w:rPr>
          <w:sz w:val="16"/>
        </w:rPr>
      </w:r>
    </w:p>
    <w:tbl>
      <w:tblPr>
        <w:tblW w:type="auto" w:w="0"/>
        <w:jc w:val="left"/>
        <w:tblLayout w:type="fixed"/>
        <w:tblLook w:firstColumn="1" w:firstRow="1" w:lastColumn="0" w:lastRow="0" w:noHBand="0" w:noVBand="1" w:val="04A0"/>
        <w:tblBorders>
          <w:top w:val="none" w:sz="0" w:color="auto" w:space="0"/>
          <w:left w:val="single" w:sz="32" w:color="1f4e79" w:space="0"/>
          <w:bottom w:val="none" w:sz="0" w:color="auto" w:space="0"/>
          <w:right w:val="none" w:sz="0" w:color="auto" w:space="0"/>
          <w:insideH w:val="none" w:sz="0" w:color="auto" w:space="0"/>
          <w:insideV w:val="none" w:sz="0" w:color="auto" w:space="0"/>
        </w:tblBorders>
      </w:tblPr>
      <w:tblGrid>
        <w:gridCol w:w="8640"/>
      </w:tblGrid>
      <w:tr>
        <w:tc>
          <w:tcPr>
            <w:tcW w:type="dxa" w:w="8640"/>
            <w:shd w:val="clear" w:color="auto" w:fill="eff6ff"/>
            <w:tcMar>
              <w:top w:w="120" w:type="dxa"/>
              <w:left w:w="200" w:type="dxa"/>
              <w:bottom w:w="120" w:type="dxa"/>
              <w:right w:w="200" w:type="dxa"/>
            </w:tcMar>
          </w:tcPr>
          <w:p>
            <w:r/>
            <w:r>
              <w:rPr>
                <w:rFonts w:ascii="Calibri" w:hAnsi="Calibri" w:eastAsia="Calibri"/>
                <w:b/>
                <w:i w:val="0"/>
                <w:color w:val="1F2933"/>
                <w:sz w:val="21"/>
              </w:rPr>
              <w:t>Positionnement CARSO :</w:t>
            </w:r>
            <w:r>
              <w:rPr>
                <w:rFonts w:ascii="Calibri" w:hAnsi="Calibri" w:eastAsia="Calibri"/>
                <w:b w:val="0"/>
                <w:i w:val="0"/>
                <w:color w:val="1F2933"/>
                <w:sz w:val="21"/>
              </w:rPr>
              <w:t xml:space="preserve"> structure d'incubation à but non lucratif (GIE) ancrée dans la région Atsimo Andrefana, disposant d'un réseau local de formateurs et de mentors, et expérimentée dans l'accompagnement entrepreneurial des opérateurs économiques du Sud-Ouest de Madagascar.</w:t>
            </w:r>
          </w:p>
        </w:tc>
      </w:tr>
    </w:tbl>
    <w:p>
      <w:pPr>
        <w:spacing w:after="0" w:before="0"/>
      </w:pPr>
      <w:r>
        <w:rPr>
          <w:sz w:val="16"/>
        </w:rPr>
      </w:r>
    </w:p>
    <w:p>
      <w:pPr>
        <w:spacing w:before="320" w:after="120" w:line="336" w:lineRule="auto"/>
      </w:pPr>
      <w:r>
        <w:rPr>
          <w:rFonts w:ascii="Calibri" w:hAnsi="Calibri" w:eastAsia="Calibri"/>
          <w:b/>
          <w:i w:val="0"/>
          <w:color w:val="1F4E79"/>
          <w:sz w:val="28"/>
        </w:rPr>
        <w:t>2. Compréhension du besoin</w:t>
      </w:r>
    </w:p>
    <w:p>
      <w:pPr>
        <w:spacing w:before="240" w:after="80" w:line="336" w:lineRule="auto"/>
      </w:pPr>
      <w:r>
        <w:rPr>
          <w:rFonts w:ascii="Calibri" w:hAnsi="Calibri" w:eastAsia="Calibri"/>
          <w:b/>
          <w:i w:val="0"/>
          <w:color w:val="243B53"/>
          <w:sz w:val="23"/>
        </w:rPr>
        <w:t>2.1 Contexte de l'appel</w:t>
      </w:r>
    </w:p>
    <w:p>
      <w:pPr>
        <w:spacing w:line="336" w:lineRule="auto"/>
      </w:pPr>
      <w:r>
        <w:rPr>
          <w:rFonts w:ascii="Calibri" w:hAnsi="Calibri" w:eastAsia="Calibri"/>
          <w:b w:val="0"/>
          <w:i w:val="0"/>
          <w:color w:val="1F2933"/>
          <w:sz w:val="21"/>
        </w:rPr>
        <w:t>Le projet TEFIALA, financé par le FEM-7 (GEF-7) et mis en œuvre par le MEDD avec l'appui de la FAO dans le cadre du Mécanisme pour la Restauration des Paysages et des Forêts (FLRM), vise à améliorer les services écosystémiques, l'intensification durable et la conservation de la biodiversité dans les paysages et forêts dégradés du Sud de Madagascar, sur la période 2023–2028, dans trois paysages : Bas Mangoky (Atsimo Andrefana), Ranomainty et Volanony Matsiatra (Haute Matsiatra).</w:t>
      </w:r>
    </w:p>
    <w:p>
      <w:pPr>
        <w:spacing w:line="336" w:lineRule="auto"/>
      </w:pPr>
      <w:r>
        <w:rPr>
          <w:rFonts w:ascii="Calibri" w:hAnsi="Calibri" w:eastAsia="Calibri"/>
          <w:b w:val="0"/>
          <w:i w:val="0"/>
          <w:color w:val="1F2933"/>
          <w:sz w:val="21"/>
        </w:rPr>
        <w:t>À travers sa composante 3 (produit 3.1.1), le projet appuie les organisations de producteurs (OP) engagées dans les chaînes de valeurs prioritaires afin de les transformer en entreprises vertes, via des programmes d'incubation confiés à des Structures d'Appui à l'Entrepreneuriat qualifiées.</w:t>
      </w:r>
    </w:p>
    <w:p>
      <w:pPr>
        <w:spacing w:before="240" w:after="80" w:line="336" w:lineRule="auto"/>
      </w:pPr>
      <w:r>
        <w:rPr>
          <w:rFonts w:ascii="Calibri" w:hAnsi="Calibri" w:eastAsia="Calibri"/>
          <w:b/>
          <w:i w:val="0"/>
          <w:color w:val="243B53"/>
          <w:sz w:val="23"/>
        </w:rPr>
        <w:t>2.2 Périmètre du Lot 2</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4320"/>
        <w:gridCol w:w="4320"/>
      </w:tblGrid>
      <w:tr>
        <w:tc>
          <w:tcPr>
            <w:tcW w:type="dxa" w:w="432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Élément</w:t>
            </w:r>
          </w:p>
        </w:tc>
        <w:tc>
          <w:tcPr>
            <w:tcW w:type="dxa" w:w="432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Donnée de l'appel</w:t>
            </w:r>
          </w:p>
        </w:tc>
      </w:tr>
      <w:tr>
        <w:tc>
          <w:tcPr>
            <w:tcW w:type="dxa" w:w="4320"/>
            <w:tcMar>
              <w:top w:w="60" w:type="dxa"/>
              <w:left w:w="80" w:type="dxa"/>
              <w:bottom w:w="60" w:type="dxa"/>
              <w:right w:w="80" w:type="dxa"/>
            </w:tcMar>
          </w:tcPr>
          <w:p>
            <w:r/>
            <w:r>
              <w:rPr>
                <w:rFonts w:ascii="Calibri" w:hAnsi="Calibri" w:eastAsia="Calibri"/>
                <w:b w:val="0"/>
                <w:i w:val="0"/>
                <w:color w:val="1F2933"/>
                <w:sz w:val="18"/>
              </w:rPr>
              <w:t>Lot</w:t>
            </w:r>
          </w:p>
        </w:tc>
        <w:tc>
          <w:tcPr>
            <w:tcW w:type="dxa" w:w="4320"/>
            <w:tcMar>
              <w:top w:w="60" w:type="dxa"/>
              <w:left w:w="80" w:type="dxa"/>
              <w:bottom w:w="60" w:type="dxa"/>
              <w:right w:w="80" w:type="dxa"/>
            </w:tcMar>
          </w:tcPr>
          <w:p>
            <w:r/>
            <w:r>
              <w:rPr>
                <w:rFonts w:ascii="Calibri" w:hAnsi="Calibri" w:eastAsia="Calibri"/>
                <w:b w:val="0"/>
                <w:i w:val="0"/>
                <w:color w:val="1F2933"/>
                <w:sz w:val="18"/>
              </w:rPr>
              <w:t>Lot 2 — Programme d'incubation, Paysage Bas Mangoky (PBM), programme 2 sur 2</w:t>
            </w:r>
          </w:p>
        </w:tc>
      </w:tr>
      <w:tr>
        <w:tc>
          <w:tcPr>
            <w:tcW w:type="dxa" w:w="4320"/>
            <w:tcMar>
              <w:top w:w="60" w:type="dxa"/>
              <w:left w:w="80" w:type="dxa"/>
              <w:bottom w:w="60" w:type="dxa"/>
              <w:right w:w="80" w:type="dxa"/>
            </w:tcMar>
          </w:tcPr>
          <w:p>
            <w:r/>
            <w:r>
              <w:rPr>
                <w:rFonts w:ascii="Calibri" w:hAnsi="Calibri" w:eastAsia="Calibri"/>
                <w:b w:val="0"/>
                <w:i w:val="0"/>
                <w:color w:val="1F2933"/>
                <w:sz w:val="18"/>
              </w:rPr>
              <w:t>Zone d'intervention</w:t>
            </w:r>
          </w:p>
        </w:tc>
        <w:tc>
          <w:tcPr>
            <w:tcW w:type="dxa" w:w="4320"/>
            <w:tcMar>
              <w:top w:w="60" w:type="dxa"/>
              <w:left w:w="80" w:type="dxa"/>
              <w:bottom w:w="60" w:type="dxa"/>
              <w:right w:w="80" w:type="dxa"/>
            </w:tcMar>
          </w:tcPr>
          <w:p>
            <w:r/>
            <w:r>
              <w:rPr>
                <w:rFonts w:ascii="Calibri" w:hAnsi="Calibri" w:eastAsia="Calibri"/>
                <w:b w:val="0"/>
                <w:i w:val="0"/>
                <w:color w:val="1F2933"/>
                <w:sz w:val="18"/>
              </w:rPr>
              <w:t>Paysage Bas Mangoky, région Atsimo Andrefana ; coordination à Antananarivo (FAO, MEDD, MINAE) et au chef-lieu de région Tuléar (DREDD, DRAE)</w:t>
            </w:r>
          </w:p>
        </w:tc>
      </w:tr>
      <w:tr>
        <w:tc>
          <w:tcPr>
            <w:tcW w:type="dxa" w:w="4320"/>
            <w:tcMar>
              <w:top w:w="60" w:type="dxa"/>
              <w:left w:w="80" w:type="dxa"/>
              <w:bottom w:w="60" w:type="dxa"/>
              <w:right w:w="80" w:type="dxa"/>
            </w:tcMar>
          </w:tcPr>
          <w:p>
            <w:r/>
            <w:r>
              <w:rPr>
                <w:rFonts w:ascii="Calibri" w:hAnsi="Calibri" w:eastAsia="Calibri"/>
                <w:b w:val="0"/>
                <w:i w:val="0"/>
                <w:color w:val="1F2933"/>
                <w:sz w:val="18"/>
              </w:rPr>
              <w:t>Communes / district</w:t>
            </w:r>
          </w:p>
        </w:tc>
        <w:tc>
          <w:tcPr>
            <w:tcW w:type="dxa" w:w="4320"/>
            <w:tcMar>
              <w:top w:w="60" w:type="dxa"/>
              <w:left w:w="80" w:type="dxa"/>
              <w:bottom w:w="60" w:type="dxa"/>
              <w:right w:w="80" w:type="dxa"/>
            </w:tcMar>
          </w:tcPr>
          <w:p>
            <w:r/>
            <w:r>
              <w:rPr>
                <w:rFonts w:ascii="Calibri" w:hAnsi="Calibri" w:eastAsia="Calibri"/>
                <w:b w:val="0"/>
                <w:i/>
                <w:color w:val="B45309"/>
                <w:sz w:val="18"/>
              </w:rPr>
              <w:t>(à compléter — ventilation exacte du Lot 2 par commune et district, à confirmer avec le tableau de ventilation de l'appel)</w:t>
            </w:r>
          </w:p>
        </w:tc>
      </w:tr>
      <w:tr>
        <w:tc>
          <w:tcPr>
            <w:tcW w:type="dxa" w:w="4320"/>
            <w:tcMar>
              <w:top w:w="60" w:type="dxa"/>
              <w:left w:w="80" w:type="dxa"/>
              <w:bottom w:w="60" w:type="dxa"/>
              <w:right w:w="80" w:type="dxa"/>
            </w:tcMar>
          </w:tcPr>
          <w:p>
            <w:r/>
            <w:r>
              <w:rPr>
                <w:rFonts w:ascii="Calibri" w:hAnsi="Calibri" w:eastAsia="Calibri"/>
                <w:b w:val="0"/>
                <w:i w:val="0"/>
                <w:color w:val="1F2933"/>
                <w:sz w:val="18"/>
              </w:rPr>
              <w:t>Chaînes de valeurs prioritaires</w:t>
            </w:r>
          </w:p>
        </w:tc>
        <w:tc>
          <w:tcPr>
            <w:tcW w:type="dxa" w:w="4320"/>
            <w:tcMar>
              <w:top w:w="60" w:type="dxa"/>
              <w:left w:w="80" w:type="dxa"/>
              <w:bottom w:w="60" w:type="dxa"/>
              <w:right w:w="80" w:type="dxa"/>
            </w:tcMar>
          </w:tcPr>
          <w:p>
            <w:r/>
            <w:r>
              <w:rPr>
                <w:rFonts w:ascii="Calibri" w:hAnsi="Calibri" w:eastAsia="Calibri"/>
                <w:b w:val="0"/>
                <w:i w:val="0"/>
                <w:color w:val="1F2933"/>
                <w:sz w:val="18"/>
              </w:rPr>
              <w:t xml:space="preserve">Chaînes de valeurs vertes ciblées par le projet TEFIALA pour le paysage Bas Mangoky </w:t>
            </w:r>
            <w:r>
              <w:rPr>
                <w:rFonts w:ascii="Calibri" w:hAnsi="Calibri" w:eastAsia="Calibri"/>
                <w:b w:val="0"/>
                <w:i/>
                <w:color w:val="B45309"/>
                <w:sz w:val="18"/>
              </w:rPr>
              <w:t>(à compléter : liste exacte des CV du PBM selon le tableau de l'appel)</w:t>
            </w:r>
          </w:p>
        </w:tc>
      </w:tr>
      <w:tr>
        <w:tc>
          <w:tcPr>
            <w:tcW w:type="dxa" w:w="4320"/>
            <w:tcMar>
              <w:top w:w="60" w:type="dxa"/>
              <w:left w:w="80" w:type="dxa"/>
              <w:bottom w:w="60" w:type="dxa"/>
              <w:right w:w="80" w:type="dxa"/>
            </w:tcMar>
          </w:tcPr>
          <w:p>
            <w:r/>
            <w:r>
              <w:rPr>
                <w:rFonts w:ascii="Calibri" w:hAnsi="Calibri" w:eastAsia="Calibri"/>
                <w:b w:val="0"/>
                <w:i w:val="0"/>
                <w:color w:val="1F2933"/>
                <w:sz w:val="18"/>
              </w:rPr>
              <w:t>Durée</w:t>
            </w:r>
          </w:p>
        </w:tc>
        <w:tc>
          <w:tcPr>
            <w:tcW w:type="dxa" w:w="4320"/>
            <w:tcMar>
              <w:top w:w="60" w:type="dxa"/>
              <w:left w:w="80" w:type="dxa"/>
              <w:bottom w:w="60" w:type="dxa"/>
              <w:right w:w="80" w:type="dxa"/>
            </w:tcMar>
          </w:tcPr>
          <w:p>
            <w:r/>
            <w:r>
              <w:rPr>
                <w:rFonts w:ascii="Calibri" w:hAnsi="Calibri" w:eastAsia="Calibri"/>
                <w:b w:val="0"/>
                <w:i w:val="0"/>
                <w:color w:val="1F2933"/>
                <w:sz w:val="18"/>
              </w:rPr>
              <w:t>10 mois maximum à compter de la signature du contrat ; cohortes prêtes pour le marché d'ici fin août 2026</w:t>
            </w:r>
          </w:p>
        </w:tc>
      </w:tr>
    </w:tbl>
    <w:p>
      <w:pPr>
        <w:spacing w:before="240" w:after="80" w:line="336" w:lineRule="auto"/>
      </w:pPr>
      <w:r>
        <w:rPr>
          <w:rFonts w:ascii="Calibri" w:hAnsi="Calibri" w:eastAsia="Calibri"/>
          <w:b/>
          <w:i w:val="0"/>
          <w:color w:val="243B53"/>
          <w:sz w:val="23"/>
        </w:rPr>
        <w:t>2.3 Résultats attendus au niveau du mandat (dont Lot 2 – PBM)</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Résultat de l'appel</w:t>
            </w:r>
          </w:p>
        </w:tc>
        <w:tc>
          <w:tcPr>
            <w:tcW w:type="dxa" w:w="288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Valeur globale (3 paysages)</w:t>
            </w:r>
          </w:p>
        </w:tc>
        <w:tc>
          <w:tcPr>
            <w:tcW w:type="dxa" w:w="288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Part Paysage Bas Mangoky</w:t>
            </w:r>
          </w:p>
        </w:tc>
      </w:tr>
      <w:tr>
        <w:tc>
          <w:tcPr>
            <w:tcW w:type="dxa" w:w="2880"/>
            <w:tcMar>
              <w:top w:w="60" w:type="dxa"/>
              <w:left w:w="80" w:type="dxa"/>
              <w:bottom w:w="60" w:type="dxa"/>
              <w:right w:w="80" w:type="dxa"/>
            </w:tcMar>
          </w:tcPr>
          <w:p>
            <w:r/>
            <w:r>
              <w:rPr>
                <w:rFonts w:ascii="Calibri" w:hAnsi="Calibri" w:eastAsia="Calibri"/>
                <w:b w:val="0"/>
                <w:i w:val="0"/>
                <w:color w:val="1F2933"/>
                <w:sz w:val="18"/>
              </w:rPr>
              <w:t>Programmes d'incubation conçus et mis en œuvre</w:t>
            </w:r>
          </w:p>
        </w:tc>
        <w:tc>
          <w:tcPr>
            <w:tcW w:type="dxa" w:w="2880"/>
            <w:tcMar>
              <w:top w:w="60" w:type="dxa"/>
              <w:left w:w="80" w:type="dxa"/>
              <w:bottom w:w="60" w:type="dxa"/>
              <w:right w:w="80" w:type="dxa"/>
            </w:tcMar>
          </w:tcPr>
          <w:p>
            <w:r/>
            <w:r>
              <w:rPr>
                <w:rFonts w:ascii="Calibri" w:hAnsi="Calibri" w:eastAsia="Calibri"/>
                <w:b w:val="0"/>
                <w:i w:val="0"/>
                <w:color w:val="1F2933"/>
                <w:sz w:val="18"/>
              </w:rPr>
              <w:t>4</w:t>
            </w:r>
          </w:p>
        </w:tc>
        <w:tc>
          <w:tcPr>
            <w:tcW w:type="dxa" w:w="2880"/>
            <w:tcMar>
              <w:top w:w="60" w:type="dxa"/>
              <w:left w:w="80" w:type="dxa"/>
              <w:bottom w:w="60" w:type="dxa"/>
              <w:right w:w="80" w:type="dxa"/>
            </w:tcMar>
          </w:tcPr>
          <w:p>
            <w:r/>
            <w:r>
              <w:rPr>
                <w:rFonts w:ascii="Calibri" w:hAnsi="Calibri" w:eastAsia="Calibri"/>
                <w:b w:val="0"/>
                <w:i w:val="0"/>
                <w:color w:val="1F2933"/>
                <w:sz w:val="18"/>
              </w:rPr>
              <w:t>2 (dont le présent programme 2 sur 2)</w:t>
            </w:r>
          </w:p>
        </w:tc>
      </w:tr>
      <w:tr>
        <w:tc>
          <w:tcPr>
            <w:tcW w:type="dxa" w:w="2880"/>
            <w:tcMar>
              <w:top w:w="60" w:type="dxa"/>
              <w:left w:w="80" w:type="dxa"/>
              <w:bottom w:w="60" w:type="dxa"/>
              <w:right w:w="80" w:type="dxa"/>
            </w:tcMar>
          </w:tcPr>
          <w:p>
            <w:r/>
            <w:r>
              <w:rPr>
                <w:rFonts w:ascii="Calibri" w:hAnsi="Calibri" w:eastAsia="Calibri"/>
                <w:b w:val="0"/>
                <w:i w:val="0"/>
                <w:color w:val="1F2933"/>
                <w:sz w:val="18"/>
              </w:rPr>
              <w:t>Membres d'OP incubés (parcours structuré)</w:t>
            </w:r>
          </w:p>
        </w:tc>
        <w:tc>
          <w:tcPr>
            <w:tcW w:type="dxa" w:w="2880"/>
            <w:tcMar>
              <w:top w:w="60" w:type="dxa"/>
              <w:left w:w="80" w:type="dxa"/>
              <w:bottom w:w="60" w:type="dxa"/>
              <w:right w:w="80" w:type="dxa"/>
            </w:tcMar>
          </w:tcPr>
          <w:p>
            <w:r/>
            <w:r>
              <w:rPr>
                <w:rFonts w:ascii="Calibri" w:hAnsi="Calibri" w:eastAsia="Calibri"/>
                <w:b w:val="0"/>
                <w:i w:val="0"/>
                <w:color w:val="1F2933"/>
                <w:sz w:val="18"/>
              </w:rPr>
              <w:t>154</w:t>
            </w:r>
          </w:p>
        </w:tc>
        <w:tc>
          <w:tcPr>
            <w:tcW w:type="dxa" w:w="2880"/>
            <w:tcMar>
              <w:top w:w="60" w:type="dxa"/>
              <w:left w:w="80" w:type="dxa"/>
              <w:bottom w:w="60" w:type="dxa"/>
              <w:right w:w="80" w:type="dxa"/>
            </w:tcMar>
          </w:tcPr>
          <w:p>
            <w:r/>
            <w:r>
              <w:rPr>
                <w:rFonts w:ascii="Calibri" w:hAnsi="Calibri" w:eastAsia="Calibri"/>
                <w:b w:val="0"/>
                <w:i w:val="0"/>
                <w:color w:val="1F2933"/>
                <w:sz w:val="18"/>
              </w:rPr>
              <w:t>64</w:t>
            </w:r>
          </w:p>
        </w:tc>
      </w:tr>
      <w:tr>
        <w:tc>
          <w:tcPr>
            <w:tcW w:type="dxa" w:w="2880"/>
            <w:tcMar>
              <w:top w:w="60" w:type="dxa"/>
              <w:left w:w="80" w:type="dxa"/>
              <w:bottom w:w="60" w:type="dxa"/>
              <w:right w:w="80" w:type="dxa"/>
            </w:tcMar>
          </w:tcPr>
          <w:p>
            <w:r/>
            <w:r>
              <w:rPr>
                <w:rFonts w:ascii="Calibri" w:hAnsi="Calibri" w:eastAsia="Calibri"/>
                <w:b w:val="0"/>
                <w:i w:val="0"/>
                <w:color w:val="1F2933"/>
                <w:sz w:val="18"/>
              </w:rPr>
              <w:t>OP incubées mises en relation avec des mentors et acteurs économiques</w:t>
            </w:r>
          </w:p>
        </w:tc>
        <w:tc>
          <w:tcPr>
            <w:tcW w:type="dxa" w:w="2880"/>
            <w:tcMar>
              <w:top w:w="60" w:type="dxa"/>
              <w:left w:w="80" w:type="dxa"/>
              <w:bottom w:w="60" w:type="dxa"/>
              <w:right w:w="80" w:type="dxa"/>
            </w:tcMar>
          </w:tcPr>
          <w:p>
            <w:r/>
            <w:r>
              <w:rPr>
                <w:rFonts w:ascii="Calibri" w:hAnsi="Calibri" w:eastAsia="Calibri"/>
                <w:b w:val="0"/>
                <w:i w:val="0"/>
                <w:color w:val="1F2933"/>
                <w:sz w:val="18"/>
              </w:rPr>
              <w:t>10</w:t>
            </w:r>
          </w:p>
        </w:tc>
        <w:tc>
          <w:tcPr>
            <w:tcW w:type="dxa" w:w="2880"/>
            <w:tcMar>
              <w:top w:w="60" w:type="dxa"/>
              <w:left w:w="80" w:type="dxa"/>
              <w:bottom w:w="60" w:type="dxa"/>
              <w:right w:w="80" w:type="dxa"/>
            </w:tcMar>
          </w:tcPr>
          <w:p>
            <w:r/>
            <w:r>
              <w:rPr>
                <w:rFonts w:ascii="Calibri" w:hAnsi="Calibri" w:eastAsia="Calibri"/>
                <w:b w:val="0"/>
                <w:i w:val="0"/>
                <w:color w:val="1F2933"/>
                <w:sz w:val="18"/>
              </w:rPr>
              <w:t>4</w:t>
            </w:r>
          </w:p>
        </w:tc>
      </w:tr>
      <w:tr>
        <w:tc>
          <w:tcPr>
            <w:tcW w:type="dxa" w:w="2880"/>
            <w:tcMar>
              <w:top w:w="60" w:type="dxa"/>
              <w:left w:w="80" w:type="dxa"/>
              <w:bottom w:w="60" w:type="dxa"/>
              <w:right w:w="80" w:type="dxa"/>
            </w:tcMar>
          </w:tcPr>
          <w:p>
            <w:r/>
            <w:r>
              <w:rPr>
                <w:rFonts w:ascii="Calibri" w:hAnsi="Calibri" w:eastAsia="Calibri"/>
                <w:b w:val="0"/>
                <w:i w:val="0"/>
                <w:color w:val="1F2933"/>
                <w:sz w:val="18"/>
              </w:rPr>
              <w:t>OP bénéficiant indirectement du programme (application des compétences par les incubés)</w:t>
            </w:r>
          </w:p>
        </w:tc>
        <w:tc>
          <w:tcPr>
            <w:tcW w:type="dxa" w:w="2880"/>
            <w:tcMar>
              <w:top w:w="60" w:type="dxa"/>
              <w:left w:w="80" w:type="dxa"/>
              <w:bottom w:w="60" w:type="dxa"/>
              <w:right w:w="80" w:type="dxa"/>
            </w:tcMar>
          </w:tcPr>
          <w:p>
            <w:r/>
            <w:r>
              <w:rPr>
                <w:rFonts w:ascii="Calibri" w:hAnsi="Calibri" w:eastAsia="Calibri"/>
                <w:b w:val="0"/>
                <w:i w:val="0"/>
                <w:color w:val="1F2933"/>
                <w:sz w:val="18"/>
              </w:rPr>
              <w:t>62</w:t>
            </w:r>
          </w:p>
        </w:tc>
        <w:tc>
          <w:tcPr>
            <w:tcW w:type="dxa" w:w="2880"/>
            <w:tcMar>
              <w:top w:w="60" w:type="dxa"/>
              <w:left w:w="80" w:type="dxa"/>
              <w:bottom w:w="60" w:type="dxa"/>
              <w:right w:w="80" w:type="dxa"/>
            </w:tcMar>
          </w:tcPr>
          <w:p>
            <w:r/>
            <w:r>
              <w:rPr>
                <w:rFonts w:ascii="Calibri" w:hAnsi="Calibri" w:eastAsia="Calibri"/>
                <w:b w:val="0"/>
                <w:i w:val="0"/>
                <w:color w:val="1F2933"/>
                <w:sz w:val="18"/>
              </w:rPr>
              <w:t>32</w:t>
            </w:r>
          </w:p>
        </w:tc>
      </w:tr>
      <w:tr>
        <w:tc>
          <w:tcPr>
            <w:tcW w:type="dxa" w:w="2880"/>
            <w:tcMar>
              <w:top w:w="60" w:type="dxa"/>
              <w:left w:w="80" w:type="dxa"/>
              <w:bottom w:w="60" w:type="dxa"/>
              <w:right w:w="80" w:type="dxa"/>
            </w:tcMar>
          </w:tcPr>
          <w:p>
            <w:r/>
            <w:r>
              <w:rPr>
                <w:rFonts w:ascii="Calibri" w:hAnsi="Calibri" w:eastAsia="Calibri"/>
                <w:b w:val="0"/>
                <w:i w:val="0"/>
                <w:color w:val="1F2933"/>
                <w:sz w:val="18"/>
              </w:rPr>
              <w:t>Membres d'OP bénéficiant indirectement (partage entre pairs, coaching post-incubation)</w:t>
            </w:r>
          </w:p>
        </w:tc>
        <w:tc>
          <w:tcPr>
            <w:tcW w:type="dxa" w:w="2880"/>
            <w:tcMar>
              <w:top w:w="60" w:type="dxa"/>
              <w:left w:w="80" w:type="dxa"/>
              <w:bottom w:w="60" w:type="dxa"/>
              <w:right w:w="80" w:type="dxa"/>
            </w:tcMar>
          </w:tcPr>
          <w:p>
            <w:r/>
            <w:r>
              <w:rPr>
                <w:rFonts w:ascii="Calibri" w:hAnsi="Calibri" w:eastAsia="Calibri"/>
                <w:b w:val="0"/>
                <w:i w:val="0"/>
                <w:color w:val="1F2933"/>
                <w:sz w:val="18"/>
              </w:rPr>
              <w:t>≈ 1 550</w:t>
            </w:r>
          </w:p>
        </w:tc>
        <w:tc>
          <w:tcPr>
            <w:tcW w:type="dxa" w:w="2880"/>
            <w:tcMar>
              <w:top w:w="60" w:type="dxa"/>
              <w:left w:w="80" w:type="dxa"/>
              <w:bottom w:w="60" w:type="dxa"/>
              <w:right w:w="80" w:type="dxa"/>
            </w:tcMar>
          </w:tcPr>
          <w:p>
            <w:r/>
            <w:r>
              <w:rPr>
                <w:rFonts w:ascii="Calibri" w:hAnsi="Calibri" w:eastAsia="Calibri"/>
                <w:b w:val="0"/>
                <w:i w:val="0"/>
                <w:color w:val="1F2933"/>
                <w:sz w:val="18"/>
              </w:rPr>
              <w:t>800</w:t>
            </w:r>
          </w:p>
        </w:tc>
      </w:tr>
    </w:tbl>
    <w:p>
      <w:pPr>
        <w:spacing w:line="336" w:lineRule="auto"/>
      </w:pPr>
      <w:r>
        <w:rPr>
          <w:rFonts w:ascii="Calibri" w:hAnsi="Calibri" w:eastAsia="Calibri"/>
          <w:b w:val="0"/>
          <w:i w:val="0"/>
          <w:color w:val="1F2933"/>
          <w:sz w:val="21"/>
        </w:rPr>
        <w:t>La ventilation précise entre programme 1 et programme 2 du PBM (nombre d'incubés, d'OP cibles et de communes propres au Lot 2) est à confirmer à partir du tableau de ventilation par lot de l'appel avant soumission.</w:t>
      </w:r>
    </w:p>
    <w:p>
      <w:pPr>
        <w:spacing w:before="240" w:after="80" w:line="336" w:lineRule="auto"/>
      </w:pPr>
      <w:r>
        <w:rPr>
          <w:rFonts w:ascii="Calibri" w:hAnsi="Calibri" w:eastAsia="Calibri"/>
          <w:b/>
          <w:i w:val="0"/>
          <w:color w:val="243B53"/>
          <w:sz w:val="23"/>
        </w:rPr>
        <w:t>2.4 Enjeux et contraintes identifiés</w:t>
      </w:r>
    </w:p>
    <w:p>
      <w:pPr>
        <w:pStyle w:val="ListBullet"/>
        <w:spacing w:line="336" w:lineRule="auto"/>
      </w:pPr>
      <w:r>
        <w:rPr>
          <w:rFonts w:ascii="Calibri" w:hAnsi="Calibri" w:eastAsia="Calibri"/>
          <w:b w:val="0"/>
          <w:i w:val="0"/>
          <w:color w:val="1F2933"/>
          <w:sz w:val="21"/>
        </w:rPr>
        <w:t>Concilier restauration des paysages et forêts (RPF) et moyens de subsistance des bénéficiaires : les entreprises incubées doivent reposer sur une utilisation durable des terres et des forêts.</w:t>
      </w:r>
    </w:p>
    <w:p>
      <w:pPr>
        <w:pStyle w:val="ListBullet"/>
        <w:spacing w:line="336" w:lineRule="auto"/>
      </w:pPr>
      <w:r>
        <w:rPr>
          <w:rFonts w:ascii="Calibri" w:hAnsi="Calibri" w:eastAsia="Calibri"/>
          <w:b w:val="0"/>
          <w:i w:val="0"/>
          <w:color w:val="1F2933"/>
          <w:sz w:val="21"/>
        </w:rPr>
        <w:t>Inclusion : au moins 50 % de femmes et jeunes parmi les incubés.</w:t>
      </w:r>
    </w:p>
    <w:p>
      <w:pPr>
        <w:pStyle w:val="ListBullet"/>
        <w:spacing w:line="336" w:lineRule="auto"/>
      </w:pPr>
      <w:r>
        <w:rPr>
          <w:rFonts w:ascii="Calibri" w:hAnsi="Calibri" w:eastAsia="Calibri"/>
          <w:b w:val="0"/>
          <w:i w:val="0"/>
          <w:color w:val="1F2933"/>
          <w:sz w:val="21"/>
        </w:rPr>
        <w:t>Bootcamps de 3 jours (5 jours avec déplacements), mis en œuvre simultanément pour chaque lot afin d'harmoniser l'avancement des cohortes.</w:t>
      </w:r>
    </w:p>
    <w:p>
      <w:pPr>
        <w:pStyle w:val="ListBullet"/>
        <w:spacing w:line="336" w:lineRule="auto"/>
      </w:pPr>
      <w:r>
        <w:rPr>
          <w:rFonts w:ascii="Calibri" w:hAnsi="Calibri" w:eastAsia="Calibri"/>
          <w:b w:val="0"/>
          <w:i w:val="0"/>
          <w:color w:val="1F2933"/>
          <w:sz w:val="21"/>
        </w:rPr>
        <w:t>Formations et suivi-coaching au niveau du paysage ; réseautage et mentorat au chef-lieu de région (Tuléar).</w:t>
      </w:r>
    </w:p>
    <w:p>
      <w:pPr>
        <w:pStyle w:val="ListBullet"/>
        <w:spacing w:line="336" w:lineRule="auto"/>
      </w:pPr>
      <w:r>
        <w:rPr>
          <w:rFonts w:ascii="Calibri" w:hAnsi="Calibri" w:eastAsia="Calibri"/>
          <w:b w:val="0"/>
          <w:i w:val="0"/>
          <w:color w:val="1F2933"/>
          <w:sz w:val="21"/>
        </w:rPr>
        <w:t>Coordination étroite avec l'UGP TEFIALA, la FAO, les comités guichet régionaux et les points focaux MEDD/MINAE.</w:t>
      </w:r>
    </w:p>
    <w:p>
      <w:pPr>
        <w:pStyle w:val="ListBullet"/>
        <w:spacing w:line="336" w:lineRule="auto"/>
      </w:pPr>
      <w:r>
        <w:rPr>
          <w:rFonts w:ascii="Calibri" w:hAnsi="Calibri" w:eastAsia="Calibri"/>
          <w:b w:val="0"/>
          <w:i w:val="0"/>
          <w:color w:val="1F2933"/>
          <w:sz w:val="21"/>
        </w:rPr>
        <w:t>Reporting exigeant : 4 rapports clés conditionnant les tranches de paiement, avec pièces justificatives et fichier de suivi des modifications après revue FAO.</w:t>
      </w:r>
    </w:p>
    <w:p>
      <w:pPr>
        <w:spacing w:before="320" w:after="120" w:line="336" w:lineRule="auto"/>
      </w:pPr>
      <w:r>
        <w:rPr>
          <w:rFonts w:ascii="Calibri" w:hAnsi="Calibri" w:eastAsia="Calibri"/>
          <w:b/>
          <w:i w:val="0"/>
          <w:color w:val="1F4E79"/>
          <w:sz w:val="28"/>
        </w:rPr>
        <w:t>3. Objectifs et résultats attendus</w:t>
      </w:r>
    </w:p>
    <w:p>
      <w:pPr>
        <w:spacing w:before="240" w:after="80" w:line="336" w:lineRule="auto"/>
      </w:pPr>
      <w:r>
        <w:rPr>
          <w:rFonts w:ascii="Calibri" w:hAnsi="Calibri" w:eastAsia="Calibri"/>
          <w:b/>
          <w:i w:val="0"/>
          <w:color w:val="243B53"/>
          <w:sz w:val="23"/>
        </w:rPr>
        <w:t>3.1 Objectif global</w:t>
      </w:r>
    </w:p>
    <w:p>
      <w:pPr>
        <w:spacing w:line="336" w:lineRule="auto"/>
      </w:pPr>
      <w:r>
        <w:rPr>
          <w:rFonts w:ascii="Calibri" w:hAnsi="Calibri" w:eastAsia="Calibri"/>
          <w:b w:val="0"/>
          <w:i w:val="0"/>
          <w:color w:val="1F2933"/>
          <w:sz w:val="21"/>
        </w:rPr>
        <w:t>Organiser et mettre en œuvre le second programme d'incubation du Paysage Bas Mangoky, afin que les OP et leurs membres incubés deviennent des acteurs engagés dans le développement des chaînes de valeurs vertes cibles du paysage.</w:t>
      </w:r>
    </w:p>
    <w:p>
      <w:pPr>
        <w:spacing w:before="240" w:after="80" w:line="336" w:lineRule="auto"/>
      </w:pPr>
      <w:r>
        <w:rPr>
          <w:rFonts w:ascii="Calibri" w:hAnsi="Calibri" w:eastAsia="Calibri"/>
          <w:b/>
          <w:i w:val="0"/>
          <w:color w:val="243B53"/>
          <w:sz w:val="23"/>
        </w:rPr>
        <w:t>3.2 Objectifs spécifiques (repris des services requis de l'appel)</w:t>
      </w:r>
    </w:p>
    <w:p>
      <w:pPr>
        <w:pStyle w:val="ListBullet"/>
        <w:spacing w:line="336" w:lineRule="auto"/>
      </w:pPr>
      <w:r>
        <w:rPr>
          <w:rFonts w:ascii="Calibri" w:hAnsi="Calibri" w:eastAsia="Calibri"/>
          <w:b w:val="0"/>
          <w:i w:val="0"/>
          <w:color w:val="1F2933"/>
          <w:sz w:val="21"/>
        </w:rPr>
        <w:t>Participer à l'affinage des critères de sélection des OP ciblées par les programmes d'incubation ;</w:t>
      </w:r>
    </w:p>
    <w:p>
      <w:pPr>
        <w:pStyle w:val="ListBullet"/>
        <w:spacing w:line="336" w:lineRule="auto"/>
      </w:pPr>
      <w:r>
        <w:rPr>
          <w:rFonts w:ascii="Calibri" w:hAnsi="Calibri" w:eastAsia="Calibri"/>
          <w:b w:val="0"/>
          <w:i w:val="0"/>
          <w:color w:val="1F2933"/>
          <w:sz w:val="21"/>
        </w:rPr>
        <w:t>Réaliser le ciblage des bénéficiaires sur la base de critères d'analyse de profil ;</w:t>
      </w:r>
    </w:p>
    <w:p>
      <w:pPr>
        <w:pStyle w:val="ListBullet"/>
        <w:spacing w:line="336" w:lineRule="auto"/>
      </w:pPr>
      <w:r>
        <w:rPr>
          <w:rFonts w:ascii="Calibri" w:hAnsi="Calibri" w:eastAsia="Calibri"/>
          <w:b w:val="0"/>
          <w:i w:val="0"/>
          <w:color w:val="1F2933"/>
          <w:sz w:val="21"/>
        </w:rPr>
        <w:t>Capitaliser et développer les modules de formation adaptés au programme d'incubation ;</w:t>
      </w:r>
    </w:p>
    <w:p>
      <w:pPr>
        <w:pStyle w:val="ListBullet"/>
        <w:spacing w:line="336" w:lineRule="auto"/>
      </w:pPr>
      <w:r>
        <w:rPr>
          <w:rFonts w:ascii="Calibri" w:hAnsi="Calibri" w:eastAsia="Calibri"/>
          <w:b w:val="0"/>
          <w:i w:val="0"/>
          <w:color w:val="1F2933"/>
          <w:sz w:val="21"/>
        </w:rPr>
        <w:t>Participer à l'élaboration des messages clés pour renforcer la capacité des OP à devenir des acteurs des chaînes de valeurs vertes ;</w:t>
      </w:r>
    </w:p>
    <w:p>
      <w:pPr>
        <w:pStyle w:val="ListBullet"/>
        <w:spacing w:line="336" w:lineRule="auto"/>
      </w:pPr>
      <w:r>
        <w:rPr>
          <w:rFonts w:ascii="Calibri" w:hAnsi="Calibri" w:eastAsia="Calibri"/>
          <w:b w:val="0"/>
          <w:i w:val="0"/>
          <w:color w:val="1F2933"/>
          <w:sz w:val="21"/>
        </w:rPr>
        <w:t>Réaliser les sessions de formation entrepreneuriale des incubés (bootcamps) ;</w:t>
      </w:r>
    </w:p>
    <w:p>
      <w:pPr>
        <w:pStyle w:val="ListBullet"/>
        <w:spacing w:line="336" w:lineRule="auto"/>
      </w:pPr>
      <w:r>
        <w:rPr>
          <w:rFonts w:ascii="Calibri" w:hAnsi="Calibri" w:eastAsia="Calibri"/>
          <w:b w:val="0"/>
          <w:i w:val="0"/>
          <w:color w:val="1F2933"/>
          <w:sz w:val="21"/>
        </w:rPr>
        <w:t>Accompagner les incubés dans la mise en relation avec le marché et l'accès au financement ;</w:t>
      </w:r>
    </w:p>
    <w:p>
      <w:pPr>
        <w:pStyle w:val="ListBullet"/>
        <w:spacing w:line="336" w:lineRule="auto"/>
      </w:pPr>
      <w:r>
        <w:rPr>
          <w:rFonts w:ascii="Calibri" w:hAnsi="Calibri" w:eastAsia="Calibri"/>
          <w:b w:val="0"/>
          <w:i w:val="0"/>
          <w:color w:val="1F2933"/>
          <w:sz w:val="21"/>
        </w:rPr>
        <w:t>Organiser la mise en réseau des OP incubées avec des mentors.</w:t>
      </w:r>
    </w:p>
    <w:p>
      <w:pPr>
        <w:spacing w:before="240" w:after="80" w:line="336" w:lineRule="auto"/>
      </w:pPr>
      <w:r>
        <w:rPr>
          <w:rFonts w:ascii="Calibri" w:hAnsi="Calibri" w:eastAsia="Calibri"/>
          <w:b/>
          <w:i w:val="0"/>
          <w:color w:val="243B53"/>
          <w:sz w:val="23"/>
        </w:rPr>
        <w:t>3.3 Produits visés (échelle du mandat)</w:t>
      </w:r>
    </w:p>
    <w:p>
      <w:pPr>
        <w:pStyle w:val="ListBullet"/>
        <w:spacing w:line="336" w:lineRule="auto"/>
      </w:pPr>
      <w:r>
        <w:rPr>
          <w:rFonts w:ascii="Calibri" w:hAnsi="Calibri" w:eastAsia="Calibri"/>
          <w:b w:val="0"/>
          <w:i w:val="0"/>
          <w:color w:val="1F2933"/>
          <w:sz w:val="21"/>
        </w:rPr>
        <w:t>Produit 1 : renforcement de la gouvernance et du mode de gestion organisationnelle des associations par le biais des incubés ;</w:t>
      </w:r>
    </w:p>
    <w:p>
      <w:pPr>
        <w:pStyle w:val="ListBullet"/>
        <w:spacing w:line="336" w:lineRule="auto"/>
      </w:pPr>
      <w:r>
        <w:rPr>
          <w:rFonts w:ascii="Calibri" w:hAnsi="Calibri" w:eastAsia="Calibri"/>
          <w:b w:val="0"/>
          <w:i w:val="0"/>
          <w:color w:val="1F2933"/>
          <w:sz w:val="21"/>
        </w:rPr>
        <w:t>Produit 2 : renforcement des capacités techniques des incubés (dont au moins 50 % de femmes et jeunes) en culture entrepreneuriale, élaboration de plans d'affaires, stratégie de commercialisation, accès au financement et adoption d'innovations axées sur l'approche RPF ;</w:t>
      </w:r>
    </w:p>
    <w:p>
      <w:pPr>
        <w:pStyle w:val="ListBullet"/>
        <w:spacing w:line="336" w:lineRule="auto"/>
      </w:pPr>
      <w:r>
        <w:rPr>
          <w:rFonts w:ascii="Calibri" w:hAnsi="Calibri" w:eastAsia="Calibri"/>
          <w:b w:val="0"/>
          <w:i w:val="0"/>
          <w:color w:val="1F2933"/>
          <w:sz w:val="21"/>
        </w:rPr>
        <w:t>Produit 3 : mécanisme de suivi post-formation et de mise en relation (réseautage, mentoring, capitalisation) opérationnel.</w:t>
      </w:r>
    </w:p>
    <w:p>
      <w:pPr>
        <w:spacing w:before="320" w:after="120" w:line="336" w:lineRule="auto"/>
      </w:pPr>
      <w:r>
        <w:rPr>
          <w:rFonts w:ascii="Calibri" w:hAnsi="Calibri" w:eastAsia="Calibri"/>
          <w:b/>
          <w:i w:val="0"/>
          <w:color w:val="1F4E79"/>
          <w:sz w:val="28"/>
        </w:rPr>
        <w:t>4. Méthodologie et dispositif d'intervention</w:t>
      </w:r>
    </w:p>
    <w:p>
      <w:pPr>
        <w:spacing w:line="336" w:lineRule="auto"/>
      </w:pPr>
      <w:r>
        <w:rPr>
          <w:rFonts w:ascii="Calibri" w:hAnsi="Calibri" w:eastAsia="Calibri"/>
          <w:b w:val="0"/>
          <w:i w:val="0"/>
          <w:color w:val="1F2933"/>
          <w:sz w:val="21"/>
        </w:rPr>
        <w:t>La démarche CARSO s'articule en cinq phases séquentielles et partiellement chevauchantes, conformes aux exigences de l'appel (Appendice A – Plan de travail).</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Phase</w:t>
            </w:r>
          </w:p>
        </w:tc>
        <w:tc>
          <w:tcPr>
            <w:tcW w:type="dxa" w:w="288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Contenu méthodologique</w:t>
            </w:r>
          </w:p>
        </w:tc>
        <w:tc>
          <w:tcPr>
            <w:tcW w:type="dxa" w:w="288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Lien avec l'appel</w:t>
            </w:r>
          </w:p>
        </w:tc>
      </w:tr>
      <w:tr>
        <w:tc>
          <w:tcPr>
            <w:tcW w:type="dxa" w:w="2880"/>
            <w:tcMar>
              <w:top w:w="60" w:type="dxa"/>
              <w:left w:w="80" w:type="dxa"/>
              <w:bottom w:w="60" w:type="dxa"/>
              <w:right w:w="80" w:type="dxa"/>
            </w:tcMar>
          </w:tcPr>
          <w:p>
            <w:r/>
            <w:r>
              <w:rPr>
                <w:rFonts w:ascii="Calibri" w:hAnsi="Calibri" w:eastAsia="Calibri"/>
                <w:b w:val="0"/>
                <w:i w:val="0"/>
                <w:color w:val="1F2933"/>
                <w:sz w:val="18"/>
              </w:rPr>
              <w:t>Phase 1 — Préparation et ciblage (mois 1)</w:t>
            </w:r>
          </w:p>
        </w:tc>
        <w:tc>
          <w:tcPr>
            <w:tcW w:type="dxa" w:w="2880"/>
            <w:tcMar>
              <w:top w:w="60" w:type="dxa"/>
              <w:left w:w="80" w:type="dxa"/>
              <w:bottom w:w="60" w:type="dxa"/>
              <w:right w:w="80" w:type="dxa"/>
            </w:tcMar>
          </w:tcPr>
          <w:p>
            <w:r/>
            <w:r>
              <w:rPr>
                <w:rFonts w:ascii="Calibri" w:hAnsi="Calibri" w:eastAsia="Calibri"/>
                <w:b w:val="0"/>
                <w:i w:val="0"/>
                <w:color w:val="1F2933"/>
                <w:sz w:val="18"/>
              </w:rPr>
              <w:t>Atelier d'affinage des critères d'éligibilité avec l'UGP TEFIALA et les comités guichet ; missions de sensibilisation et de mobilisation dans les communes du PBM ; analyse de profil et sélection structurée des incubés (grille de notation, comité de sélection incluant les parties prenantes du projet).</w:t>
            </w:r>
          </w:p>
        </w:tc>
        <w:tc>
          <w:tcPr>
            <w:tcW w:type="dxa" w:w="2880"/>
            <w:tcMar>
              <w:top w:w="60" w:type="dxa"/>
              <w:left w:w="80" w:type="dxa"/>
              <w:bottom w:w="60" w:type="dxa"/>
              <w:right w:w="80" w:type="dxa"/>
            </w:tcMar>
          </w:tcPr>
          <w:p>
            <w:r/>
            <w:r>
              <w:rPr>
                <w:rFonts w:ascii="Calibri" w:hAnsi="Calibri" w:eastAsia="Calibri"/>
                <w:b w:val="0"/>
                <w:i w:val="0"/>
                <w:color w:val="1F2933"/>
                <w:sz w:val="18"/>
              </w:rPr>
              <w:t>Affinage des critères, ciblage, sélection des participants</w:t>
            </w:r>
          </w:p>
        </w:tc>
      </w:tr>
      <w:tr>
        <w:tc>
          <w:tcPr>
            <w:tcW w:type="dxa" w:w="2880"/>
            <w:tcMar>
              <w:top w:w="60" w:type="dxa"/>
              <w:left w:w="80" w:type="dxa"/>
              <w:bottom w:w="60" w:type="dxa"/>
              <w:right w:w="80" w:type="dxa"/>
            </w:tcMar>
          </w:tcPr>
          <w:p>
            <w:r/>
            <w:r>
              <w:rPr>
                <w:rFonts w:ascii="Calibri" w:hAnsi="Calibri" w:eastAsia="Calibri"/>
                <w:b w:val="0"/>
                <w:i w:val="0"/>
                <w:color w:val="1F2933"/>
                <w:sz w:val="18"/>
              </w:rPr>
              <w:t>Phase 2 — Formation entrepreneuriale (bootcamps) (mois 2 à 6)</w:t>
            </w:r>
          </w:p>
        </w:tc>
        <w:tc>
          <w:tcPr>
            <w:tcW w:type="dxa" w:w="2880"/>
            <w:tcMar>
              <w:top w:w="60" w:type="dxa"/>
              <w:left w:w="80" w:type="dxa"/>
              <w:bottom w:w="60" w:type="dxa"/>
              <w:right w:w="80" w:type="dxa"/>
            </w:tcMar>
          </w:tcPr>
          <w:p>
            <w:r/>
            <w:r>
              <w:rPr>
                <w:rFonts w:ascii="Calibri" w:hAnsi="Calibri" w:eastAsia="Calibri"/>
                <w:b w:val="0"/>
                <w:i w:val="0"/>
                <w:color w:val="1F2933"/>
                <w:sz w:val="18"/>
              </w:rPr>
              <w:t>Conception des modules adaptés (capitalisation des outils existants, standards GERME et Thinkcoop) ; bootcamps de 3 jours (5 jours avec déplacements) privilégiant les méthodes interactives : études de cas, apprentissage entre pairs, exercices pratiques, missions commerciales réelles ; deux volets : compétences organisationnelles et fonctionnelles (gouvernance interne, gestion participative, leadership, outils de gestion collective) et compétences entrepreneuriales (plan d'affaires, gestion financière, marketing, accès au financement).</w:t>
            </w:r>
          </w:p>
        </w:tc>
        <w:tc>
          <w:tcPr>
            <w:tcW w:type="dxa" w:w="2880"/>
            <w:tcMar>
              <w:top w:w="60" w:type="dxa"/>
              <w:left w:w="80" w:type="dxa"/>
              <w:bottom w:w="60" w:type="dxa"/>
              <w:right w:w="80" w:type="dxa"/>
            </w:tcMar>
          </w:tcPr>
          <w:p>
            <w:r/>
            <w:r>
              <w:rPr>
                <w:rFonts w:ascii="Calibri" w:hAnsi="Calibri" w:eastAsia="Calibri"/>
                <w:b w:val="0"/>
                <w:i w:val="0"/>
                <w:color w:val="1F2933"/>
                <w:sz w:val="18"/>
              </w:rPr>
              <w:t>Modules de formation, sessions entrepreneuriales, bootcamps</w:t>
            </w:r>
          </w:p>
        </w:tc>
      </w:tr>
      <w:tr>
        <w:tc>
          <w:tcPr>
            <w:tcW w:type="dxa" w:w="2880"/>
            <w:tcMar>
              <w:top w:w="60" w:type="dxa"/>
              <w:left w:w="80" w:type="dxa"/>
              <w:bottom w:w="60" w:type="dxa"/>
              <w:right w:w="80" w:type="dxa"/>
            </w:tcMar>
          </w:tcPr>
          <w:p>
            <w:r/>
            <w:r>
              <w:rPr>
                <w:rFonts w:ascii="Calibri" w:hAnsi="Calibri" w:eastAsia="Calibri"/>
                <w:b w:val="0"/>
                <w:i w:val="0"/>
                <w:color w:val="1F2933"/>
                <w:sz w:val="18"/>
              </w:rPr>
              <w:t>Phase 3 — Coaching et plans d'affaires (mois 4 à 8)</w:t>
            </w:r>
          </w:p>
        </w:tc>
        <w:tc>
          <w:tcPr>
            <w:tcW w:type="dxa" w:w="2880"/>
            <w:tcMar>
              <w:top w:w="60" w:type="dxa"/>
              <w:left w:w="80" w:type="dxa"/>
              <w:bottom w:w="60" w:type="dxa"/>
              <w:right w:w="80" w:type="dxa"/>
            </w:tcMar>
          </w:tcPr>
          <w:p>
            <w:r/>
            <w:r>
              <w:rPr>
                <w:rFonts w:ascii="Calibri" w:hAnsi="Calibri" w:eastAsia="Calibri"/>
                <w:b w:val="0"/>
                <w:i w:val="0"/>
                <w:color w:val="1F2933"/>
                <w:sz w:val="18"/>
              </w:rPr>
              <w:t>Accompagnement individualisé de chaque incubé pour l'élaboration et la validation de son plan d'affaires dans une chaîne de valeur ciblée ; suivi de la mise en œuvre des plans d'action convenus avec les OP.</w:t>
            </w:r>
          </w:p>
        </w:tc>
        <w:tc>
          <w:tcPr>
            <w:tcW w:type="dxa" w:w="2880"/>
            <w:tcMar>
              <w:top w:w="60" w:type="dxa"/>
              <w:left w:w="80" w:type="dxa"/>
              <w:bottom w:w="60" w:type="dxa"/>
              <w:right w:w="80" w:type="dxa"/>
            </w:tcMar>
          </w:tcPr>
          <w:p>
            <w:r/>
            <w:r>
              <w:rPr>
                <w:rFonts w:ascii="Calibri" w:hAnsi="Calibri" w:eastAsia="Calibri"/>
                <w:b w:val="0"/>
                <w:i w:val="0"/>
                <w:color w:val="1F2933"/>
                <w:sz w:val="18"/>
              </w:rPr>
              <w:t>Accompagnement individualisé, plans d'affaires validés</w:t>
            </w:r>
          </w:p>
        </w:tc>
      </w:tr>
      <w:tr>
        <w:tc>
          <w:tcPr>
            <w:tcW w:type="dxa" w:w="2880"/>
            <w:tcMar>
              <w:top w:w="60" w:type="dxa"/>
              <w:left w:w="80" w:type="dxa"/>
              <w:bottom w:w="60" w:type="dxa"/>
              <w:right w:w="80" w:type="dxa"/>
            </w:tcMar>
          </w:tcPr>
          <w:p>
            <w:r/>
            <w:r>
              <w:rPr>
                <w:rFonts w:ascii="Calibri" w:hAnsi="Calibri" w:eastAsia="Calibri"/>
                <w:b w:val="0"/>
                <w:i w:val="0"/>
                <w:color w:val="1F2933"/>
                <w:sz w:val="18"/>
              </w:rPr>
              <w:t>Phase 4 — Mise en relation marché et financement (mois 6 à 9)</w:t>
            </w:r>
          </w:p>
        </w:tc>
        <w:tc>
          <w:tcPr>
            <w:tcW w:type="dxa" w:w="2880"/>
            <w:tcMar>
              <w:top w:w="60" w:type="dxa"/>
              <w:left w:w="80" w:type="dxa"/>
              <w:bottom w:w="60" w:type="dxa"/>
              <w:right w:w="80" w:type="dxa"/>
            </w:tcMar>
          </w:tcPr>
          <w:p>
            <w:r/>
            <w:r>
              <w:rPr>
                <w:rFonts w:ascii="Calibri" w:hAnsi="Calibri" w:eastAsia="Calibri"/>
                <w:b w:val="0"/>
                <w:i w:val="0"/>
                <w:color w:val="1F2933"/>
                <w:sz w:val="18"/>
              </w:rPr>
              <w:t>Organisation du réseautage et du mentorat au chef-lieu de région (Tuléar) ; appui à la négociation d'accords commerciaux avec acheteurs, transformateurs et exportateurs ; appui à la recherche de financement ; appui à la participation des incubés à des événements de mise en réseau et commerciaux de type foire (régional, national).</w:t>
            </w:r>
          </w:p>
        </w:tc>
        <w:tc>
          <w:tcPr>
            <w:tcW w:type="dxa" w:w="2880"/>
            <w:tcMar>
              <w:top w:w="60" w:type="dxa"/>
              <w:left w:w="80" w:type="dxa"/>
              <w:bottom w:w="60" w:type="dxa"/>
              <w:right w:w="80" w:type="dxa"/>
            </w:tcMar>
          </w:tcPr>
          <w:p>
            <w:r/>
            <w:r>
              <w:rPr>
                <w:rFonts w:ascii="Calibri" w:hAnsi="Calibri" w:eastAsia="Calibri"/>
                <w:b w:val="0"/>
                <w:i w:val="0"/>
                <w:color w:val="1F2933"/>
                <w:sz w:val="18"/>
              </w:rPr>
              <w:t>Mise en relation, accès au financement, mentoring, foires</w:t>
            </w:r>
          </w:p>
        </w:tc>
      </w:tr>
      <w:tr>
        <w:tc>
          <w:tcPr>
            <w:tcW w:type="dxa" w:w="2880"/>
            <w:tcMar>
              <w:top w:w="60" w:type="dxa"/>
              <w:left w:w="80" w:type="dxa"/>
              <w:bottom w:w="60" w:type="dxa"/>
              <w:right w:w="80" w:type="dxa"/>
            </w:tcMar>
          </w:tcPr>
          <w:p>
            <w:r/>
            <w:r>
              <w:rPr>
                <w:rFonts w:ascii="Calibri" w:hAnsi="Calibri" w:eastAsia="Calibri"/>
                <w:b w:val="0"/>
                <w:i w:val="0"/>
                <w:color w:val="1F2933"/>
                <w:sz w:val="18"/>
              </w:rPr>
              <w:t>Phase 5 — Suivi post-incubation et capitalisation (mois 8 à 10)</w:t>
            </w:r>
          </w:p>
        </w:tc>
        <w:tc>
          <w:tcPr>
            <w:tcW w:type="dxa" w:w="2880"/>
            <w:tcMar>
              <w:top w:w="60" w:type="dxa"/>
              <w:left w:w="80" w:type="dxa"/>
              <w:bottom w:w="60" w:type="dxa"/>
              <w:right w:w="80" w:type="dxa"/>
            </w:tcMar>
          </w:tcPr>
          <w:p>
            <w:r/>
            <w:r>
              <w:rPr>
                <w:rFonts w:ascii="Calibri" w:hAnsi="Calibri" w:eastAsia="Calibri"/>
                <w:b w:val="0"/>
                <w:i w:val="0"/>
                <w:color w:val="1F2933"/>
                <w:sz w:val="18"/>
              </w:rPr>
              <w:t>Sessions de mentoring post-programme facilitées par la SAE ; collecte des données de suivi (production, ventes, contrats d'achat) ; documentation des réussites convaincantes (progrès, innovation, impacts sur la restauration des paysages et forêts) ; capitalisation et restitution à la FAO et à l'UGP.</w:t>
            </w:r>
          </w:p>
        </w:tc>
        <w:tc>
          <w:tcPr>
            <w:tcW w:type="dxa" w:w="2880"/>
            <w:tcMar>
              <w:top w:w="60" w:type="dxa"/>
              <w:left w:w="80" w:type="dxa"/>
              <w:bottom w:w="60" w:type="dxa"/>
              <w:right w:w="80" w:type="dxa"/>
            </w:tcMar>
          </w:tcPr>
          <w:p>
            <w:r/>
            <w:r>
              <w:rPr>
                <w:rFonts w:ascii="Calibri" w:hAnsi="Calibri" w:eastAsia="Calibri"/>
                <w:b w:val="0"/>
                <w:i w:val="0"/>
                <w:color w:val="1F2933"/>
                <w:sz w:val="18"/>
              </w:rPr>
              <w:t>Suivi post-formation, capitalisation, documentation des réussites</w:t>
            </w:r>
          </w:p>
        </w:tc>
      </w:tr>
    </w:tbl>
    <w:p>
      <w:pPr>
        <w:spacing w:after="0" w:before="0"/>
      </w:pPr>
      <w:r>
        <w:rPr>
          <w:sz w:val="16"/>
        </w:rPr>
      </w:r>
    </w:p>
    <w:tbl>
      <w:tblPr>
        <w:tblW w:type="auto" w:w="0"/>
        <w:jc w:val="left"/>
        <w:tblLayout w:type="fixed"/>
        <w:tblLook w:firstColumn="1" w:firstRow="1" w:lastColumn="0" w:lastRow="0" w:noHBand="0" w:noVBand="1" w:val="04A0"/>
        <w:tblBorders>
          <w:top w:val="none" w:sz="0" w:color="auto" w:space="0"/>
          <w:left w:val="single" w:sz="32" w:color="1f4e79" w:space="0"/>
          <w:bottom w:val="none" w:sz="0" w:color="auto" w:space="0"/>
          <w:right w:val="none" w:sz="0" w:color="auto" w:space="0"/>
          <w:insideH w:val="none" w:sz="0" w:color="auto" w:space="0"/>
          <w:insideV w:val="none" w:sz="0" w:color="auto" w:space="0"/>
        </w:tblBorders>
      </w:tblPr>
      <w:tblGrid>
        <w:gridCol w:w="8640"/>
      </w:tblGrid>
      <w:tr>
        <w:tc>
          <w:tcPr>
            <w:tcW w:type="dxa" w:w="8640"/>
            <w:shd w:val="clear" w:color="auto" w:fill="eff6ff"/>
            <w:tcMar>
              <w:top w:w="120" w:type="dxa"/>
              <w:left w:w="200" w:type="dxa"/>
              <w:bottom w:w="120" w:type="dxa"/>
              <w:right w:w="200" w:type="dxa"/>
            </w:tcMar>
          </w:tcPr>
          <w:p>
            <w:r/>
            <w:r>
              <w:rPr>
                <w:rFonts w:ascii="Calibri" w:hAnsi="Calibri" w:eastAsia="Calibri"/>
                <w:b/>
                <w:i w:val="0"/>
                <w:color w:val="1F2933"/>
                <w:sz w:val="21"/>
              </w:rPr>
              <w:t>Principe de coordination :</w:t>
            </w:r>
            <w:r>
              <w:rPr>
                <w:rFonts w:ascii="Calibri" w:hAnsi="Calibri" w:eastAsia="Calibri"/>
                <w:b w:val="0"/>
                <w:i w:val="0"/>
                <w:color w:val="1F2933"/>
                <w:sz w:val="21"/>
              </w:rPr>
              <w:t xml:space="preserve"> le CARSO travaillera sous la supervision du Coordonnateur de projet RPF et Biodiversité de la FAO, en étroite collaboration avec l'UGP TEFIALA, les comités guichet de la région Atsimo Andrefana, les points focaux techniques MEDD et MINAE, la Task Force du projet à la FAO, ainsi que les services déconcentrés (DREDD, DRAE) à Tuléar.</w:t>
            </w:r>
          </w:p>
        </w:tc>
      </w:tr>
    </w:tbl>
    <w:p>
      <w:pPr>
        <w:spacing w:after="0" w:before="0"/>
      </w:pPr>
      <w:r>
        <w:rPr>
          <w:sz w:val="16"/>
        </w:rPr>
      </w:r>
    </w:p>
    <w:p>
      <w:pPr>
        <w:spacing w:before="320" w:after="120" w:line="336" w:lineRule="auto"/>
      </w:pPr>
      <w:r>
        <w:rPr>
          <w:rFonts w:ascii="Calibri" w:hAnsi="Calibri" w:eastAsia="Calibri"/>
          <w:b/>
          <w:i w:val="0"/>
          <w:color w:val="1F4E79"/>
          <w:sz w:val="28"/>
        </w:rPr>
        <w:t>5. Planning et jalons</w:t>
      </w:r>
    </w:p>
    <w:p>
      <w:pPr>
        <w:spacing w:before="240" w:after="80" w:line="336" w:lineRule="auto"/>
      </w:pPr>
      <w:r>
        <w:rPr>
          <w:rFonts w:ascii="Calibri" w:hAnsi="Calibri" w:eastAsia="Calibri"/>
          <w:b/>
          <w:i w:val="0"/>
          <w:color w:val="243B53"/>
          <w:sz w:val="23"/>
        </w:rPr>
        <w:t>5.1 Calendrier prévisionnel (mois 1 à 10)</w:t>
      </w:r>
    </w:p>
    <w:p>
      <w:pPr>
        <w:spacing w:line="336" w:lineRule="auto"/>
      </w:pPr>
      <w:r>
        <w:rPr>
          <w:rFonts w:ascii="Calibri" w:hAnsi="Calibri" w:eastAsia="Calibri"/>
          <w:b w:val="0"/>
          <w:i w:val="0"/>
          <w:color w:val="1F2933"/>
          <w:sz w:val="21"/>
        </w:rPr>
        <w:t>Le calendrier ci-dessous présente le chevauchement des cinq phases du programme sur la durée maximale de 10 mois à compter de la signature du contrat, ainsi que les jalons contractuels (rapports conditionnant les tranches de paiement).</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785"/>
        <w:gridCol w:w="785"/>
        <w:gridCol w:w="785"/>
        <w:gridCol w:w="785"/>
        <w:gridCol w:w="785"/>
        <w:gridCol w:w="785"/>
        <w:gridCol w:w="785"/>
        <w:gridCol w:w="785"/>
        <w:gridCol w:w="785"/>
        <w:gridCol w:w="785"/>
        <w:gridCol w:w="785"/>
      </w:tblGrid>
      <w:tr>
        <w:tc>
          <w:tcPr>
            <w:tcW w:type="dxa" w:w="785"/>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Phase</w:t>
            </w:r>
          </w:p>
        </w:tc>
        <w:tc>
          <w:tcPr>
            <w:tcW w:type="dxa" w:w="785"/>
            <w:shd w:val="clear" w:color="auto" w:fill="1f4e79"/>
            <w:tcMar>
              <w:top w:w="60" w:type="dxa"/>
              <w:left w:w="80" w:type="dxa"/>
              <w:bottom w:w="60" w:type="dxa"/>
              <w:right w:w="80" w:type="dxa"/>
            </w:tcMar>
          </w:tcPr>
          <w:p>
            <w:r/>
            <w:r>
              <w:rPr>
                <w:rFonts w:ascii="Calibri" w:hAnsi="Calibri" w:eastAsia="Calibri"/>
                <w:b/>
                <w:i w:val="0"/>
                <w:color w:val="FFFFFF"/>
                <w:sz w:val="17"/>
                <w:shd w:val="clear" w:color="auto" w:fill="1f4e79"/>
              </w:rPr>
              <w:t>M1</w:t>
            </w:r>
          </w:p>
        </w:tc>
        <w:tc>
          <w:tcPr>
            <w:tcW w:type="dxa" w:w="785"/>
            <w:shd w:val="clear" w:color="auto" w:fill="1f4e79"/>
            <w:tcMar>
              <w:top w:w="60" w:type="dxa"/>
              <w:left w:w="80" w:type="dxa"/>
              <w:bottom w:w="60" w:type="dxa"/>
              <w:right w:w="80" w:type="dxa"/>
            </w:tcMar>
          </w:tcPr>
          <w:p>
            <w:r/>
            <w:r>
              <w:rPr>
                <w:rFonts w:ascii="Calibri" w:hAnsi="Calibri" w:eastAsia="Calibri"/>
                <w:b/>
                <w:i w:val="0"/>
                <w:color w:val="FFFFFF"/>
                <w:sz w:val="17"/>
                <w:shd w:val="clear" w:color="auto" w:fill="1f4e79"/>
              </w:rPr>
              <w:t>M2</w:t>
            </w:r>
          </w:p>
        </w:tc>
        <w:tc>
          <w:tcPr>
            <w:tcW w:type="dxa" w:w="785"/>
            <w:shd w:val="clear" w:color="auto" w:fill="1f4e79"/>
            <w:tcMar>
              <w:top w:w="60" w:type="dxa"/>
              <w:left w:w="80" w:type="dxa"/>
              <w:bottom w:w="60" w:type="dxa"/>
              <w:right w:w="80" w:type="dxa"/>
            </w:tcMar>
          </w:tcPr>
          <w:p>
            <w:r/>
            <w:r>
              <w:rPr>
                <w:rFonts w:ascii="Calibri" w:hAnsi="Calibri" w:eastAsia="Calibri"/>
                <w:b/>
                <w:i w:val="0"/>
                <w:color w:val="FFFFFF"/>
                <w:sz w:val="17"/>
                <w:shd w:val="clear" w:color="auto" w:fill="1f4e79"/>
              </w:rPr>
              <w:t>M3</w:t>
            </w:r>
          </w:p>
        </w:tc>
        <w:tc>
          <w:tcPr>
            <w:tcW w:type="dxa" w:w="785"/>
            <w:shd w:val="clear" w:color="auto" w:fill="1f4e79"/>
            <w:tcMar>
              <w:top w:w="60" w:type="dxa"/>
              <w:left w:w="80" w:type="dxa"/>
              <w:bottom w:w="60" w:type="dxa"/>
              <w:right w:w="80" w:type="dxa"/>
            </w:tcMar>
          </w:tcPr>
          <w:p>
            <w:r/>
            <w:r>
              <w:rPr>
                <w:rFonts w:ascii="Calibri" w:hAnsi="Calibri" w:eastAsia="Calibri"/>
                <w:b/>
                <w:i w:val="0"/>
                <w:color w:val="FFFFFF"/>
                <w:sz w:val="17"/>
                <w:shd w:val="clear" w:color="auto" w:fill="1f4e79"/>
              </w:rPr>
              <w:t>M4</w:t>
            </w:r>
          </w:p>
        </w:tc>
        <w:tc>
          <w:tcPr>
            <w:tcW w:type="dxa" w:w="785"/>
            <w:shd w:val="clear" w:color="auto" w:fill="1f4e79"/>
            <w:tcMar>
              <w:top w:w="60" w:type="dxa"/>
              <w:left w:w="80" w:type="dxa"/>
              <w:bottom w:w="60" w:type="dxa"/>
              <w:right w:w="80" w:type="dxa"/>
            </w:tcMar>
          </w:tcPr>
          <w:p>
            <w:r/>
            <w:r>
              <w:rPr>
                <w:rFonts w:ascii="Calibri" w:hAnsi="Calibri" w:eastAsia="Calibri"/>
                <w:b/>
                <w:i w:val="0"/>
                <w:color w:val="FFFFFF"/>
                <w:sz w:val="17"/>
                <w:shd w:val="clear" w:color="auto" w:fill="1f4e79"/>
              </w:rPr>
              <w:t>M5</w:t>
            </w:r>
          </w:p>
        </w:tc>
        <w:tc>
          <w:tcPr>
            <w:tcW w:type="dxa" w:w="785"/>
            <w:shd w:val="clear" w:color="auto" w:fill="1f4e79"/>
            <w:tcMar>
              <w:top w:w="60" w:type="dxa"/>
              <w:left w:w="80" w:type="dxa"/>
              <w:bottom w:w="60" w:type="dxa"/>
              <w:right w:w="80" w:type="dxa"/>
            </w:tcMar>
          </w:tcPr>
          <w:p>
            <w:r/>
            <w:r>
              <w:rPr>
                <w:rFonts w:ascii="Calibri" w:hAnsi="Calibri" w:eastAsia="Calibri"/>
                <w:b/>
                <w:i w:val="0"/>
                <w:color w:val="FFFFFF"/>
                <w:sz w:val="17"/>
                <w:shd w:val="clear" w:color="auto" w:fill="1f4e79"/>
              </w:rPr>
              <w:t>M6</w:t>
            </w:r>
          </w:p>
        </w:tc>
        <w:tc>
          <w:tcPr>
            <w:tcW w:type="dxa" w:w="785"/>
            <w:shd w:val="clear" w:color="auto" w:fill="1f4e79"/>
            <w:tcMar>
              <w:top w:w="60" w:type="dxa"/>
              <w:left w:w="80" w:type="dxa"/>
              <w:bottom w:w="60" w:type="dxa"/>
              <w:right w:w="80" w:type="dxa"/>
            </w:tcMar>
          </w:tcPr>
          <w:p>
            <w:r/>
            <w:r>
              <w:rPr>
                <w:rFonts w:ascii="Calibri" w:hAnsi="Calibri" w:eastAsia="Calibri"/>
                <w:b/>
                <w:i w:val="0"/>
                <w:color w:val="FFFFFF"/>
                <w:sz w:val="17"/>
                <w:shd w:val="clear" w:color="auto" w:fill="1f4e79"/>
              </w:rPr>
              <w:t>M7</w:t>
            </w:r>
          </w:p>
        </w:tc>
        <w:tc>
          <w:tcPr>
            <w:tcW w:type="dxa" w:w="785"/>
            <w:shd w:val="clear" w:color="auto" w:fill="1f4e79"/>
            <w:tcMar>
              <w:top w:w="60" w:type="dxa"/>
              <w:left w:w="80" w:type="dxa"/>
              <w:bottom w:w="60" w:type="dxa"/>
              <w:right w:w="80" w:type="dxa"/>
            </w:tcMar>
          </w:tcPr>
          <w:p>
            <w:r/>
            <w:r>
              <w:rPr>
                <w:rFonts w:ascii="Calibri" w:hAnsi="Calibri" w:eastAsia="Calibri"/>
                <w:b/>
                <w:i w:val="0"/>
                <w:color w:val="FFFFFF"/>
                <w:sz w:val="17"/>
                <w:shd w:val="clear" w:color="auto" w:fill="1f4e79"/>
              </w:rPr>
              <w:t>M8</w:t>
            </w:r>
          </w:p>
        </w:tc>
        <w:tc>
          <w:tcPr>
            <w:tcW w:type="dxa" w:w="785"/>
            <w:shd w:val="clear" w:color="auto" w:fill="1f4e79"/>
            <w:tcMar>
              <w:top w:w="60" w:type="dxa"/>
              <w:left w:w="80" w:type="dxa"/>
              <w:bottom w:w="60" w:type="dxa"/>
              <w:right w:w="80" w:type="dxa"/>
            </w:tcMar>
          </w:tcPr>
          <w:p>
            <w:r/>
            <w:r>
              <w:rPr>
                <w:rFonts w:ascii="Calibri" w:hAnsi="Calibri" w:eastAsia="Calibri"/>
                <w:b/>
                <w:i w:val="0"/>
                <w:color w:val="FFFFFF"/>
                <w:sz w:val="17"/>
                <w:shd w:val="clear" w:color="auto" w:fill="1f4e79"/>
              </w:rPr>
              <w:t>M9</w:t>
            </w:r>
          </w:p>
        </w:tc>
        <w:tc>
          <w:tcPr>
            <w:tcW w:type="dxa" w:w="785"/>
            <w:shd w:val="clear" w:color="auto" w:fill="1f4e79"/>
            <w:tcMar>
              <w:top w:w="60" w:type="dxa"/>
              <w:left w:w="80" w:type="dxa"/>
              <w:bottom w:w="60" w:type="dxa"/>
              <w:right w:w="80" w:type="dxa"/>
            </w:tcMar>
          </w:tcPr>
          <w:p>
            <w:r/>
            <w:r>
              <w:rPr>
                <w:rFonts w:ascii="Calibri" w:hAnsi="Calibri" w:eastAsia="Calibri"/>
                <w:b/>
                <w:i w:val="0"/>
                <w:color w:val="FFFFFF"/>
                <w:sz w:val="17"/>
                <w:shd w:val="clear" w:color="auto" w:fill="1f4e79"/>
              </w:rPr>
              <w:t>M10</w:t>
            </w:r>
          </w:p>
        </w:tc>
      </w:tr>
      <w:tr>
        <w:tc>
          <w:tcPr>
            <w:tcW w:type="dxa" w:w="785"/>
            <w:tcMar>
              <w:top w:w="60" w:type="dxa"/>
              <w:left w:w="80" w:type="dxa"/>
              <w:bottom w:w="60" w:type="dxa"/>
              <w:right w:w="80" w:type="dxa"/>
            </w:tcMar>
          </w:tcPr>
          <w:p>
            <w:r/>
            <w:r>
              <w:rPr>
                <w:rFonts w:ascii="Calibri" w:hAnsi="Calibri" w:eastAsia="Calibri"/>
                <w:b/>
                <w:i w:val="0"/>
                <w:color w:val="1F2933"/>
                <w:sz w:val="17"/>
              </w:rPr>
              <w:t>Phase 1 — Préparation et ciblage</w:t>
            </w:r>
          </w:p>
        </w:tc>
        <w:tc>
          <w:tcPr>
            <w:tcW w:type="dxa" w:w="785"/>
            <w:shd w:val="clear" w:color="auto" w:fill="1f4e79"/>
            <w:tcMar>
              <w:top w:w="60" w:type="dxa"/>
              <w:left w:w="80" w:type="dxa"/>
              <w:bottom w:w="60" w:type="dxa"/>
              <w:right w:w="80" w:type="dxa"/>
            </w:tcMar>
          </w:tcPr>
          <w:p>
            <w:r/>
            <w:r>
              <w:rPr>
                <w:rFonts w:ascii="Calibri" w:hAnsi="Calibri" w:eastAsia="Calibri"/>
                <w:b w:val="0"/>
                <w:i w:val="0"/>
                <w:color w:val="1F2933"/>
                <w:sz w:val="17"/>
                <w:shd w:val="clear" w:color="auto" w:fill="1f4e79"/>
              </w:rPr>
              <w:t xml:space="preserve"> </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r>
      <w:tr>
        <w:tc>
          <w:tcPr>
            <w:tcW w:type="dxa" w:w="785"/>
            <w:tcMar>
              <w:top w:w="60" w:type="dxa"/>
              <w:left w:w="80" w:type="dxa"/>
              <w:bottom w:w="60" w:type="dxa"/>
              <w:right w:w="80" w:type="dxa"/>
            </w:tcMar>
          </w:tcPr>
          <w:p>
            <w:r/>
            <w:r>
              <w:rPr>
                <w:rFonts w:ascii="Calibri" w:hAnsi="Calibri" w:eastAsia="Calibri"/>
                <w:b/>
                <w:i w:val="0"/>
                <w:color w:val="1F2933"/>
                <w:sz w:val="17"/>
              </w:rPr>
              <w:t>Phase 2 — Bootcamps de formation</w:t>
            </w:r>
          </w:p>
        </w:tc>
        <w:tc>
          <w:tcPr>
            <w:tcW w:type="dxa" w:w="785"/>
            <w:tcMar>
              <w:top w:w="60" w:type="dxa"/>
              <w:left w:w="80" w:type="dxa"/>
              <w:bottom w:w="60" w:type="dxa"/>
              <w:right w:w="80" w:type="dxa"/>
            </w:tcMar>
          </w:tcPr>
          <w:p>
            <w:r/>
          </w:p>
        </w:tc>
        <w:tc>
          <w:tcPr>
            <w:tcW w:type="dxa" w:w="785"/>
            <w:shd w:val="clear" w:color="auto" w:fill="1f4e79"/>
            <w:tcMar>
              <w:top w:w="60" w:type="dxa"/>
              <w:left w:w="80" w:type="dxa"/>
              <w:bottom w:w="60" w:type="dxa"/>
              <w:right w:w="80" w:type="dxa"/>
            </w:tcMar>
          </w:tcPr>
          <w:p>
            <w:r/>
            <w:r>
              <w:rPr>
                <w:rFonts w:ascii="Calibri" w:hAnsi="Calibri" w:eastAsia="Calibri"/>
                <w:b w:val="0"/>
                <w:i w:val="0"/>
                <w:color w:val="1F2933"/>
                <w:sz w:val="17"/>
                <w:shd w:val="clear" w:color="auto" w:fill="1f4e79"/>
              </w:rPr>
              <w:t xml:space="preserve"> </w:t>
            </w:r>
          </w:p>
        </w:tc>
        <w:tc>
          <w:tcPr>
            <w:tcW w:type="dxa" w:w="785"/>
            <w:shd w:val="clear" w:color="auto" w:fill="1f4e79"/>
            <w:tcMar>
              <w:top w:w="60" w:type="dxa"/>
              <w:left w:w="80" w:type="dxa"/>
              <w:bottom w:w="60" w:type="dxa"/>
              <w:right w:w="80" w:type="dxa"/>
            </w:tcMar>
          </w:tcPr>
          <w:p>
            <w:r/>
            <w:r>
              <w:rPr>
                <w:rFonts w:ascii="Calibri" w:hAnsi="Calibri" w:eastAsia="Calibri"/>
                <w:b w:val="0"/>
                <w:i w:val="0"/>
                <w:color w:val="1F2933"/>
                <w:sz w:val="17"/>
                <w:shd w:val="clear" w:color="auto" w:fill="1f4e79"/>
              </w:rPr>
              <w:t xml:space="preserve"> </w:t>
            </w:r>
          </w:p>
        </w:tc>
        <w:tc>
          <w:tcPr>
            <w:tcW w:type="dxa" w:w="785"/>
            <w:shd w:val="clear" w:color="auto" w:fill="1f4e79"/>
            <w:tcMar>
              <w:top w:w="60" w:type="dxa"/>
              <w:left w:w="80" w:type="dxa"/>
              <w:bottom w:w="60" w:type="dxa"/>
              <w:right w:w="80" w:type="dxa"/>
            </w:tcMar>
          </w:tcPr>
          <w:p>
            <w:r/>
            <w:r>
              <w:rPr>
                <w:rFonts w:ascii="Calibri" w:hAnsi="Calibri" w:eastAsia="Calibri"/>
                <w:b w:val="0"/>
                <w:i w:val="0"/>
                <w:color w:val="1F2933"/>
                <w:sz w:val="17"/>
                <w:shd w:val="clear" w:color="auto" w:fill="1f4e79"/>
              </w:rPr>
              <w:t xml:space="preserve"> </w:t>
            </w:r>
          </w:p>
        </w:tc>
        <w:tc>
          <w:tcPr>
            <w:tcW w:type="dxa" w:w="785"/>
            <w:shd w:val="clear" w:color="auto" w:fill="1f4e79"/>
            <w:tcMar>
              <w:top w:w="60" w:type="dxa"/>
              <w:left w:w="80" w:type="dxa"/>
              <w:bottom w:w="60" w:type="dxa"/>
              <w:right w:w="80" w:type="dxa"/>
            </w:tcMar>
          </w:tcPr>
          <w:p>
            <w:r/>
            <w:r>
              <w:rPr>
                <w:rFonts w:ascii="Calibri" w:hAnsi="Calibri" w:eastAsia="Calibri"/>
                <w:b w:val="0"/>
                <w:i w:val="0"/>
                <w:color w:val="1F2933"/>
                <w:sz w:val="17"/>
                <w:shd w:val="clear" w:color="auto" w:fill="1f4e79"/>
              </w:rPr>
              <w:t xml:space="preserve"> </w:t>
            </w:r>
          </w:p>
        </w:tc>
        <w:tc>
          <w:tcPr>
            <w:tcW w:type="dxa" w:w="785"/>
            <w:shd w:val="clear" w:color="auto" w:fill="1f4e79"/>
            <w:tcMar>
              <w:top w:w="60" w:type="dxa"/>
              <w:left w:w="80" w:type="dxa"/>
              <w:bottom w:w="60" w:type="dxa"/>
              <w:right w:w="80" w:type="dxa"/>
            </w:tcMar>
          </w:tcPr>
          <w:p>
            <w:r/>
            <w:r>
              <w:rPr>
                <w:rFonts w:ascii="Calibri" w:hAnsi="Calibri" w:eastAsia="Calibri"/>
                <w:b w:val="0"/>
                <w:i w:val="0"/>
                <w:color w:val="1F2933"/>
                <w:sz w:val="17"/>
                <w:shd w:val="clear" w:color="auto" w:fill="1f4e79"/>
              </w:rPr>
              <w:t xml:space="preserve"> </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r>
      <w:tr>
        <w:tc>
          <w:tcPr>
            <w:tcW w:type="dxa" w:w="785"/>
            <w:tcMar>
              <w:top w:w="60" w:type="dxa"/>
              <w:left w:w="80" w:type="dxa"/>
              <w:bottom w:w="60" w:type="dxa"/>
              <w:right w:w="80" w:type="dxa"/>
            </w:tcMar>
          </w:tcPr>
          <w:p>
            <w:r/>
            <w:r>
              <w:rPr>
                <w:rFonts w:ascii="Calibri" w:hAnsi="Calibri" w:eastAsia="Calibri"/>
                <w:b/>
                <w:i w:val="0"/>
                <w:color w:val="1F2933"/>
                <w:sz w:val="17"/>
              </w:rPr>
              <w:t>Phase 3 — Coaching et plans d'affaires</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shd w:val="clear" w:color="auto" w:fill="1f4e79"/>
            <w:tcMar>
              <w:top w:w="60" w:type="dxa"/>
              <w:left w:w="80" w:type="dxa"/>
              <w:bottom w:w="60" w:type="dxa"/>
              <w:right w:w="80" w:type="dxa"/>
            </w:tcMar>
          </w:tcPr>
          <w:p>
            <w:r/>
            <w:r>
              <w:rPr>
                <w:rFonts w:ascii="Calibri" w:hAnsi="Calibri" w:eastAsia="Calibri"/>
                <w:b w:val="0"/>
                <w:i w:val="0"/>
                <w:color w:val="1F2933"/>
                <w:sz w:val="17"/>
                <w:shd w:val="clear" w:color="auto" w:fill="1f4e79"/>
              </w:rPr>
              <w:t xml:space="preserve"> </w:t>
            </w:r>
          </w:p>
        </w:tc>
        <w:tc>
          <w:tcPr>
            <w:tcW w:type="dxa" w:w="785"/>
            <w:shd w:val="clear" w:color="auto" w:fill="1f4e79"/>
            <w:tcMar>
              <w:top w:w="60" w:type="dxa"/>
              <w:left w:w="80" w:type="dxa"/>
              <w:bottom w:w="60" w:type="dxa"/>
              <w:right w:w="80" w:type="dxa"/>
            </w:tcMar>
          </w:tcPr>
          <w:p>
            <w:r/>
            <w:r>
              <w:rPr>
                <w:rFonts w:ascii="Calibri" w:hAnsi="Calibri" w:eastAsia="Calibri"/>
                <w:b w:val="0"/>
                <w:i w:val="0"/>
                <w:color w:val="1F2933"/>
                <w:sz w:val="17"/>
                <w:shd w:val="clear" w:color="auto" w:fill="1f4e79"/>
              </w:rPr>
              <w:t xml:space="preserve"> </w:t>
            </w:r>
          </w:p>
        </w:tc>
        <w:tc>
          <w:tcPr>
            <w:tcW w:type="dxa" w:w="785"/>
            <w:shd w:val="clear" w:color="auto" w:fill="1f4e79"/>
            <w:tcMar>
              <w:top w:w="60" w:type="dxa"/>
              <w:left w:w="80" w:type="dxa"/>
              <w:bottom w:w="60" w:type="dxa"/>
              <w:right w:w="80" w:type="dxa"/>
            </w:tcMar>
          </w:tcPr>
          <w:p>
            <w:r/>
            <w:r>
              <w:rPr>
                <w:rFonts w:ascii="Calibri" w:hAnsi="Calibri" w:eastAsia="Calibri"/>
                <w:b w:val="0"/>
                <w:i w:val="0"/>
                <w:color w:val="1F2933"/>
                <w:sz w:val="17"/>
                <w:shd w:val="clear" w:color="auto" w:fill="1f4e79"/>
              </w:rPr>
              <w:t xml:space="preserve"> </w:t>
            </w:r>
          </w:p>
        </w:tc>
        <w:tc>
          <w:tcPr>
            <w:tcW w:type="dxa" w:w="785"/>
            <w:shd w:val="clear" w:color="auto" w:fill="1f4e79"/>
            <w:tcMar>
              <w:top w:w="60" w:type="dxa"/>
              <w:left w:w="80" w:type="dxa"/>
              <w:bottom w:w="60" w:type="dxa"/>
              <w:right w:w="80" w:type="dxa"/>
            </w:tcMar>
          </w:tcPr>
          <w:p>
            <w:r/>
            <w:r>
              <w:rPr>
                <w:rFonts w:ascii="Calibri" w:hAnsi="Calibri" w:eastAsia="Calibri"/>
                <w:b w:val="0"/>
                <w:i w:val="0"/>
                <w:color w:val="1F2933"/>
                <w:sz w:val="17"/>
                <w:shd w:val="clear" w:color="auto" w:fill="1f4e79"/>
              </w:rPr>
              <w:t xml:space="preserve"> </w:t>
            </w:r>
          </w:p>
        </w:tc>
        <w:tc>
          <w:tcPr>
            <w:tcW w:type="dxa" w:w="785"/>
            <w:shd w:val="clear" w:color="auto" w:fill="1f4e79"/>
            <w:tcMar>
              <w:top w:w="60" w:type="dxa"/>
              <w:left w:w="80" w:type="dxa"/>
              <w:bottom w:w="60" w:type="dxa"/>
              <w:right w:w="80" w:type="dxa"/>
            </w:tcMar>
          </w:tcPr>
          <w:p>
            <w:r/>
            <w:r>
              <w:rPr>
                <w:rFonts w:ascii="Calibri" w:hAnsi="Calibri" w:eastAsia="Calibri"/>
                <w:b w:val="0"/>
                <w:i w:val="0"/>
                <w:color w:val="1F2933"/>
                <w:sz w:val="17"/>
                <w:shd w:val="clear" w:color="auto" w:fill="1f4e79"/>
              </w:rPr>
              <w:t xml:space="preserve"> </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r>
      <w:tr>
        <w:tc>
          <w:tcPr>
            <w:tcW w:type="dxa" w:w="785"/>
            <w:tcMar>
              <w:top w:w="60" w:type="dxa"/>
              <w:left w:w="80" w:type="dxa"/>
              <w:bottom w:w="60" w:type="dxa"/>
              <w:right w:w="80" w:type="dxa"/>
            </w:tcMar>
          </w:tcPr>
          <w:p>
            <w:r/>
            <w:r>
              <w:rPr>
                <w:rFonts w:ascii="Calibri" w:hAnsi="Calibri" w:eastAsia="Calibri"/>
                <w:b/>
                <w:i w:val="0"/>
                <w:color w:val="1F2933"/>
                <w:sz w:val="17"/>
              </w:rPr>
              <w:t>Phase 4 — Mise en relation marché et financement</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shd w:val="clear" w:color="auto" w:fill="1f4e79"/>
            <w:tcMar>
              <w:top w:w="60" w:type="dxa"/>
              <w:left w:w="80" w:type="dxa"/>
              <w:bottom w:w="60" w:type="dxa"/>
              <w:right w:w="80" w:type="dxa"/>
            </w:tcMar>
          </w:tcPr>
          <w:p>
            <w:r/>
            <w:r>
              <w:rPr>
                <w:rFonts w:ascii="Calibri" w:hAnsi="Calibri" w:eastAsia="Calibri"/>
                <w:b w:val="0"/>
                <w:i w:val="0"/>
                <w:color w:val="1F2933"/>
                <w:sz w:val="17"/>
                <w:shd w:val="clear" w:color="auto" w:fill="1f4e79"/>
              </w:rPr>
              <w:t xml:space="preserve"> </w:t>
            </w:r>
          </w:p>
        </w:tc>
        <w:tc>
          <w:tcPr>
            <w:tcW w:type="dxa" w:w="785"/>
            <w:shd w:val="clear" w:color="auto" w:fill="1f4e79"/>
            <w:tcMar>
              <w:top w:w="60" w:type="dxa"/>
              <w:left w:w="80" w:type="dxa"/>
              <w:bottom w:w="60" w:type="dxa"/>
              <w:right w:w="80" w:type="dxa"/>
            </w:tcMar>
          </w:tcPr>
          <w:p>
            <w:r/>
            <w:r>
              <w:rPr>
                <w:rFonts w:ascii="Calibri" w:hAnsi="Calibri" w:eastAsia="Calibri"/>
                <w:b w:val="0"/>
                <w:i w:val="0"/>
                <w:color w:val="1F2933"/>
                <w:sz w:val="17"/>
                <w:shd w:val="clear" w:color="auto" w:fill="1f4e79"/>
              </w:rPr>
              <w:t xml:space="preserve"> </w:t>
            </w:r>
          </w:p>
        </w:tc>
        <w:tc>
          <w:tcPr>
            <w:tcW w:type="dxa" w:w="785"/>
            <w:shd w:val="clear" w:color="auto" w:fill="1f4e79"/>
            <w:tcMar>
              <w:top w:w="60" w:type="dxa"/>
              <w:left w:w="80" w:type="dxa"/>
              <w:bottom w:w="60" w:type="dxa"/>
              <w:right w:w="80" w:type="dxa"/>
            </w:tcMar>
          </w:tcPr>
          <w:p>
            <w:r/>
            <w:r>
              <w:rPr>
                <w:rFonts w:ascii="Calibri" w:hAnsi="Calibri" w:eastAsia="Calibri"/>
                <w:b w:val="0"/>
                <w:i w:val="0"/>
                <w:color w:val="1F2933"/>
                <w:sz w:val="17"/>
                <w:shd w:val="clear" w:color="auto" w:fill="1f4e79"/>
              </w:rPr>
              <w:t xml:space="preserve"> </w:t>
            </w:r>
          </w:p>
        </w:tc>
        <w:tc>
          <w:tcPr>
            <w:tcW w:type="dxa" w:w="785"/>
            <w:shd w:val="clear" w:color="auto" w:fill="1f4e79"/>
            <w:tcMar>
              <w:top w:w="60" w:type="dxa"/>
              <w:left w:w="80" w:type="dxa"/>
              <w:bottom w:w="60" w:type="dxa"/>
              <w:right w:w="80" w:type="dxa"/>
            </w:tcMar>
          </w:tcPr>
          <w:p>
            <w:r/>
            <w:r>
              <w:rPr>
                <w:rFonts w:ascii="Calibri" w:hAnsi="Calibri" w:eastAsia="Calibri"/>
                <w:b w:val="0"/>
                <w:i w:val="0"/>
                <w:color w:val="1F2933"/>
                <w:sz w:val="17"/>
                <w:shd w:val="clear" w:color="auto" w:fill="1f4e79"/>
              </w:rPr>
              <w:t xml:space="preserve"> </w:t>
            </w:r>
          </w:p>
        </w:tc>
        <w:tc>
          <w:tcPr>
            <w:tcW w:type="dxa" w:w="785"/>
            <w:tcMar>
              <w:top w:w="60" w:type="dxa"/>
              <w:left w:w="80" w:type="dxa"/>
              <w:bottom w:w="60" w:type="dxa"/>
              <w:right w:w="80" w:type="dxa"/>
            </w:tcMar>
          </w:tcPr>
          <w:p>
            <w:r/>
          </w:p>
        </w:tc>
      </w:tr>
      <w:tr>
        <w:tc>
          <w:tcPr>
            <w:tcW w:type="dxa" w:w="785"/>
            <w:tcMar>
              <w:top w:w="60" w:type="dxa"/>
              <w:left w:w="80" w:type="dxa"/>
              <w:bottom w:w="60" w:type="dxa"/>
              <w:right w:w="80" w:type="dxa"/>
            </w:tcMar>
          </w:tcPr>
          <w:p>
            <w:r/>
            <w:r>
              <w:rPr>
                <w:rFonts w:ascii="Calibri" w:hAnsi="Calibri" w:eastAsia="Calibri"/>
                <w:b/>
                <w:i w:val="0"/>
                <w:color w:val="1F2933"/>
                <w:sz w:val="17"/>
              </w:rPr>
              <w:t>Phase 5 — Suivi post-incubation et capitalisation</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shd w:val="clear" w:color="auto" w:fill="1f4e79"/>
            <w:tcMar>
              <w:top w:w="60" w:type="dxa"/>
              <w:left w:w="80" w:type="dxa"/>
              <w:bottom w:w="60" w:type="dxa"/>
              <w:right w:w="80" w:type="dxa"/>
            </w:tcMar>
          </w:tcPr>
          <w:p>
            <w:r/>
            <w:r>
              <w:rPr>
                <w:rFonts w:ascii="Calibri" w:hAnsi="Calibri" w:eastAsia="Calibri"/>
                <w:b w:val="0"/>
                <w:i w:val="0"/>
                <w:color w:val="1F2933"/>
                <w:sz w:val="17"/>
                <w:shd w:val="clear" w:color="auto" w:fill="1f4e79"/>
              </w:rPr>
              <w:t xml:space="preserve"> </w:t>
            </w:r>
          </w:p>
        </w:tc>
        <w:tc>
          <w:tcPr>
            <w:tcW w:type="dxa" w:w="785"/>
            <w:shd w:val="clear" w:color="auto" w:fill="1f4e79"/>
            <w:tcMar>
              <w:top w:w="60" w:type="dxa"/>
              <w:left w:w="80" w:type="dxa"/>
              <w:bottom w:w="60" w:type="dxa"/>
              <w:right w:w="80" w:type="dxa"/>
            </w:tcMar>
          </w:tcPr>
          <w:p>
            <w:r/>
            <w:r>
              <w:rPr>
                <w:rFonts w:ascii="Calibri" w:hAnsi="Calibri" w:eastAsia="Calibri"/>
                <w:b w:val="0"/>
                <w:i w:val="0"/>
                <w:color w:val="1F2933"/>
                <w:sz w:val="17"/>
                <w:shd w:val="clear" w:color="auto" w:fill="1f4e79"/>
              </w:rPr>
              <w:t xml:space="preserve"> </w:t>
            </w:r>
          </w:p>
        </w:tc>
        <w:tc>
          <w:tcPr>
            <w:tcW w:type="dxa" w:w="785"/>
            <w:shd w:val="clear" w:color="auto" w:fill="1f4e79"/>
            <w:tcMar>
              <w:top w:w="60" w:type="dxa"/>
              <w:left w:w="80" w:type="dxa"/>
              <w:bottom w:w="60" w:type="dxa"/>
              <w:right w:w="80" w:type="dxa"/>
            </w:tcMar>
          </w:tcPr>
          <w:p>
            <w:r/>
            <w:r>
              <w:rPr>
                <w:rFonts w:ascii="Calibri" w:hAnsi="Calibri" w:eastAsia="Calibri"/>
                <w:b w:val="0"/>
                <w:i w:val="0"/>
                <w:color w:val="1F2933"/>
                <w:sz w:val="17"/>
                <w:shd w:val="clear" w:color="auto" w:fill="1f4e79"/>
              </w:rPr>
              <w:t xml:space="preserve"> </w:t>
            </w:r>
          </w:p>
        </w:tc>
      </w:tr>
      <w:tr>
        <w:tc>
          <w:tcPr>
            <w:tcW w:type="dxa" w:w="785"/>
            <w:tcMar>
              <w:top w:w="60" w:type="dxa"/>
              <w:left w:w="80" w:type="dxa"/>
              <w:bottom w:w="60" w:type="dxa"/>
              <w:right w:w="80" w:type="dxa"/>
            </w:tcMar>
          </w:tcPr>
          <w:p>
            <w:r/>
            <w:r>
              <w:rPr>
                <w:rFonts w:ascii="Calibri" w:hAnsi="Calibri" w:eastAsia="Calibri"/>
                <w:b/>
                <w:i w:val="0"/>
                <w:color w:val="1F2933"/>
                <w:sz w:val="17"/>
              </w:rPr>
              <w:t>Jalons contractuels (rapports)</w:t>
            </w:r>
          </w:p>
        </w:tc>
        <w:tc>
          <w:tcPr>
            <w:tcW w:type="dxa" w:w="785"/>
            <w:tcMar>
              <w:top w:w="60" w:type="dxa"/>
              <w:left w:w="80" w:type="dxa"/>
              <w:bottom w:w="60" w:type="dxa"/>
              <w:right w:w="80" w:type="dxa"/>
            </w:tcMar>
          </w:tcPr>
          <w:p>
            <w:r/>
            <w:r>
              <w:rPr>
                <w:rFonts w:ascii="Calibri" w:hAnsi="Calibri" w:eastAsia="Calibri"/>
                <w:b/>
                <w:i w:val="0"/>
                <w:color w:val="1F4E79"/>
                <w:sz w:val="17"/>
              </w:rPr>
              <w:t>◆</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r>
              <w:rPr>
                <w:rFonts w:ascii="Calibri" w:hAnsi="Calibri" w:eastAsia="Calibri"/>
                <w:b/>
                <w:i w:val="0"/>
                <w:color w:val="1F4E79"/>
                <w:sz w:val="17"/>
              </w:rPr>
              <w:t>◆</w:t>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p>
        </w:tc>
        <w:tc>
          <w:tcPr>
            <w:tcW w:type="dxa" w:w="785"/>
            <w:tcMar>
              <w:top w:w="60" w:type="dxa"/>
              <w:left w:w="80" w:type="dxa"/>
              <w:bottom w:w="60" w:type="dxa"/>
              <w:right w:w="80" w:type="dxa"/>
            </w:tcMar>
          </w:tcPr>
          <w:p>
            <w:r/>
            <w:r>
              <w:rPr>
                <w:rFonts w:ascii="Calibri" w:hAnsi="Calibri" w:eastAsia="Calibri"/>
                <w:b/>
                <w:i w:val="0"/>
                <w:color w:val="1F4E79"/>
                <w:sz w:val="17"/>
              </w:rPr>
              <w:t>◆</w:t>
            </w:r>
          </w:p>
        </w:tc>
      </w:tr>
    </w:tbl>
    <w:p>
      <w:pPr>
        <w:spacing w:line="336" w:lineRule="auto"/>
      </w:pPr>
      <w:r>
        <w:rPr>
          <w:rFonts w:ascii="Calibri" w:hAnsi="Calibri" w:eastAsia="Calibri"/>
          <w:b/>
          <w:i w:val="0"/>
          <w:color w:val="1F2933"/>
          <w:sz w:val="18"/>
        </w:rPr>
        <w:t>■</w:t>
      </w:r>
      <w:r>
        <w:rPr>
          <w:rFonts w:ascii="Calibri" w:hAnsi="Calibri" w:eastAsia="Calibri"/>
          <w:b w:val="0"/>
          <w:i w:val="0"/>
          <w:color w:val="1F2933"/>
          <w:sz w:val="18"/>
        </w:rPr>
        <w:t xml:space="preserve"> Phase active</w:t>
      </w:r>
      <w:r>
        <w:rPr>
          <w:rFonts w:ascii="Calibri" w:hAnsi="Calibri" w:eastAsia="Calibri"/>
          <w:b/>
          <w:i w:val="0"/>
          <w:color w:val="1F2933"/>
          <w:sz w:val="18"/>
        </w:rPr>
        <w:t>◆</w:t>
      </w:r>
      <w:r>
        <w:rPr>
          <w:rFonts w:ascii="Calibri" w:hAnsi="Calibri" w:eastAsia="Calibri"/>
          <w:b w:val="0"/>
          <w:i w:val="0"/>
          <w:color w:val="1F2933"/>
          <w:sz w:val="18"/>
        </w:rPr>
        <w:t xml:space="preserve"> Jalon : rapport à remettre (M1 : rapport initial + premier rapport d'étape ; M7 : deuxième rapport d'étape ; M10 : rapport final)</w:t>
      </w:r>
    </w:p>
    <w:p>
      <w:pPr>
        <w:spacing w:before="240" w:after="80" w:line="336" w:lineRule="auto"/>
      </w:pPr>
      <w:r>
        <w:rPr>
          <w:rFonts w:ascii="Calibri" w:hAnsi="Calibri" w:eastAsia="Calibri"/>
          <w:b/>
          <w:i w:val="0"/>
          <w:color w:val="243B53"/>
          <w:sz w:val="23"/>
        </w:rPr>
        <w:t>5.2 Détail des périodes et jalons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Période</w:t>
            </w:r>
          </w:p>
        </w:tc>
        <w:tc>
          <w:tcPr>
            <w:tcW w:type="dxa" w:w="288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Activités principales</w:t>
            </w:r>
          </w:p>
        </w:tc>
        <w:tc>
          <w:tcPr>
            <w:tcW w:type="dxa" w:w="288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Jalon / livrable associé</w:t>
            </w:r>
          </w:p>
        </w:tc>
      </w:tr>
      <w:tr>
        <w:tc>
          <w:tcPr>
            <w:tcW w:type="dxa" w:w="2880"/>
            <w:tcMar>
              <w:top w:w="60" w:type="dxa"/>
              <w:left w:w="80" w:type="dxa"/>
              <w:bottom w:w="60" w:type="dxa"/>
              <w:right w:w="80" w:type="dxa"/>
            </w:tcMar>
          </w:tcPr>
          <w:p>
            <w:r/>
            <w:r>
              <w:rPr>
                <w:rFonts w:ascii="Calibri" w:hAnsi="Calibri" w:eastAsia="Calibri"/>
                <w:b w:val="0"/>
                <w:i w:val="0"/>
                <w:color w:val="1F2933"/>
                <w:sz w:val="18"/>
              </w:rPr>
              <w:t>Mois 1</w:t>
            </w:r>
          </w:p>
        </w:tc>
        <w:tc>
          <w:tcPr>
            <w:tcW w:type="dxa" w:w="2880"/>
            <w:tcMar>
              <w:top w:w="60" w:type="dxa"/>
              <w:left w:w="80" w:type="dxa"/>
              <w:bottom w:w="60" w:type="dxa"/>
              <w:right w:w="80" w:type="dxa"/>
            </w:tcMar>
          </w:tcPr>
          <w:p>
            <w:r/>
            <w:r>
              <w:rPr>
                <w:rFonts w:ascii="Calibri" w:hAnsi="Calibri" w:eastAsia="Calibri"/>
                <w:b w:val="0"/>
                <w:i w:val="0"/>
                <w:color w:val="1F2933"/>
                <w:sz w:val="18"/>
              </w:rPr>
              <w:t>Lancement, plan de travail détaillé, affinage des critères, sensibilisation et mobilisation, analyse de profil et sélection des incubés</w:t>
            </w:r>
          </w:p>
        </w:tc>
        <w:tc>
          <w:tcPr>
            <w:tcW w:type="dxa" w:w="2880"/>
            <w:tcMar>
              <w:top w:w="60" w:type="dxa"/>
              <w:left w:w="80" w:type="dxa"/>
              <w:bottom w:w="60" w:type="dxa"/>
              <w:right w:w="80" w:type="dxa"/>
            </w:tcMar>
          </w:tcPr>
          <w:p>
            <w:r/>
            <w:r>
              <w:rPr>
                <w:rFonts w:ascii="Calibri" w:hAnsi="Calibri" w:eastAsia="Calibri"/>
                <w:b w:val="0"/>
                <w:i w:val="0"/>
                <w:color w:val="1F2933"/>
                <w:sz w:val="18"/>
              </w:rPr>
              <w:t>Rapport initial (mois 1) ; Premier rapport d'étape (fin mois 1) avec listes de participants</w:t>
            </w:r>
          </w:p>
        </w:tc>
      </w:tr>
      <w:tr>
        <w:tc>
          <w:tcPr>
            <w:tcW w:type="dxa" w:w="2880"/>
            <w:tcMar>
              <w:top w:w="60" w:type="dxa"/>
              <w:left w:w="80" w:type="dxa"/>
              <w:bottom w:w="60" w:type="dxa"/>
              <w:right w:w="80" w:type="dxa"/>
            </w:tcMar>
          </w:tcPr>
          <w:p>
            <w:r/>
            <w:r>
              <w:rPr>
                <w:rFonts w:ascii="Calibri" w:hAnsi="Calibri" w:eastAsia="Calibri"/>
                <w:b w:val="0"/>
                <w:i w:val="0"/>
                <w:color w:val="1F2933"/>
                <w:sz w:val="18"/>
              </w:rPr>
              <w:t>Mois 2 à 6</w:t>
            </w:r>
          </w:p>
        </w:tc>
        <w:tc>
          <w:tcPr>
            <w:tcW w:type="dxa" w:w="2880"/>
            <w:tcMar>
              <w:top w:w="60" w:type="dxa"/>
              <w:left w:w="80" w:type="dxa"/>
              <w:bottom w:w="60" w:type="dxa"/>
              <w:right w:w="80" w:type="dxa"/>
            </w:tcMar>
          </w:tcPr>
          <w:p>
            <w:r/>
            <w:r>
              <w:rPr>
                <w:rFonts w:ascii="Calibri" w:hAnsi="Calibri" w:eastAsia="Calibri"/>
                <w:b w:val="0"/>
                <w:i w:val="0"/>
                <w:color w:val="1F2933"/>
                <w:sz w:val="18"/>
              </w:rPr>
              <w:t>Conception des modules ; déroulé des bootcamps (3 jours + déplacements) ; début du coaching individualisé</w:t>
            </w:r>
          </w:p>
        </w:tc>
        <w:tc>
          <w:tcPr>
            <w:tcW w:type="dxa" w:w="2880"/>
            <w:tcMar>
              <w:top w:w="60" w:type="dxa"/>
              <w:left w:w="80" w:type="dxa"/>
              <w:bottom w:w="60" w:type="dxa"/>
              <w:right w:w="80" w:type="dxa"/>
            </w:tcMar>
          </w:tcPr>
          <w:p>
            <w:r/>
            <w:r>
              <w:rPr>
                <w:rFonts w:ascii="Calibri" w:hAnsi="Calibri" w:eastAsia="Calibri"/>
                <w:b w:val="0"/>
                <w:i w:val="0"/>
                <w:color w:val="1F2933"/>
                <w:sz w:val="18"/>
              </w:rPr>
              <w:t>Supports de formation validés ; bootcamps réalisés</w:t>
            </w:r>
          </w:p>
        </w:tc>
      </w:tr>
      <w:tr>
        <w:tc>
          <w:tcPr>
            <w:tcW w:type="dxa" w:w="2880"/>
            <w:tcMar>
              <w:top w:w="60" w:type="dxa"/>
              <w:left w:w="80" w:type="dxa"/>
              <w:bottom w:w="60" w:type="dxa"/>
              <w:right w:w="80" w:type="dxa"/>
            </w:tcMar>
          </w:tcPr>
          <w:p>
            <w:r/>
            <w:r>
              <w:rPr>
                <w:rFonts w:ascii="Calibri" w:hAnsi="Calibri" w:eastAsia="Calibri"/>
                <w:b w:val="0"/>
                <w:i w:val="0"/>
                <w:color w:val="1F2933"/>
                <w:sz w:val="18"/>
              </w:rPr>
              <w:t>Mois 7</w:t>
            </w:r>
          </w:p>
        </w:tc>
        <w:tc>
          <w:tcPr>
            <w:tcW w:type="dxa" w:w="2880"/>
            <w:tcMar>
              <w:top w:w="60" w:type="dxa"/>
              <w:left w:w="80" w:type="dxa"/>
              <w:bottom w:w="60" w:type="dxa"/>
              <w:right w:w="80" w:type="dxa"/>
            </w:tcMar>
          </w:tcPr>
          <w:p>
            <w:r/>
            <w:r>
              <w:rPr>
                <w:rFonts w:ascii="Calibri" w:hAnsi="Calibri" w:eastAsia="Calibri"/>
                <w:b w:val="0"/>
                <w:i w:val="0"/>
                <w:color w:val="1F2933"/>
                <w:sz w:val="18"/>
              </w:rPr>
              <w:t>Poursuite du coaching ; premiers plans d'affaires ; préparation de la mise en relation</w:t>
            </w:r>
          </w:p>
        </w:tc>
        <w:tc>
          <w:tcPr>
            <w:tcW w:type="dxa" w:w="2880"/>
            <w:tcMar>
              <w:top w:w="60" w:type="dxa"/>
              <w:left w:w="80" w:type="dxa"/>
              <w:bottom w:w="60" w:type="dxa"/>
              <w:right w:w="80" w:type="dxa"/>
            </w:tcMar>
          </w:tcPr>
          <w:p>
            <w:r/>
            <w:r>
              <w:rPr>
                <w:rFonts w:ascii="Calibri" w:hAnsi="Calibri" w:eastAsia="Calibri"/>
                <w:b w:val="0"/>
                <w:i w:val="0"/>
                <w:color w:val="1F2933"/>
                <w:sz w:val="18"/>
              </w:rPr>
              <w:t>Deuxième rapport d'étape (mois 7) : preuves des bootcamps et premiers résultats de planification commerciale</w:t>
            </w:r>
          </w:p>
        </w:tc>
      </w:tr>
      <w:tr>
        <w:tc>
          <w:tcPr>
            <w:tcW w:type="dxa" w:w="2880"/>
            <w:tcMar>
              <w:top w:w="60" w:type="dxa"/>
              <w:left w:w="80" w:type="dxa"/>
              <w:bottom w:w="60" w:type="dxa"/>
              <w:right w:w="80" w:type="dxa"/>
            </w:tcMar>
          </w:tcPr>
          <w:p>
            <w:r/>
            <w:r>
              <w:rPr>
                <w:rFonts w:ascii="Calibri" w:hAnsi="Calibri" w:eastAsia="Calibri"/>
                <w:b w:val="0"/>
                <w:i w:val="0"/>
                <w:color w:val="1F2933"/>
                <w:sz w:val="18"/>
              </w:rPr>
              <w:t>Mois 6 à 9</w:t>
            </w:r>
          </w:p>
        </w:tc>
        <w:tc>
          <w:tcPr>
            <w:tcW w:type="dxa" w:w="2880"/>
            <w:tcMar>
              <w:top w:w="60" w:type="dxa"/>
              <w:left w:w="80" w:type="dxa"/>
              <w:bottom w:w="60" w:type="dxa"/>
              <w:right w:w="80" w:type="dxa"/>
            </w:tcMar>
          </w:tcPr>
          <w:p>
            <w:r/>
            <w:r>
              <w:rPr>
                <w:rFonts w:ascii="Calibri" w:hAnsi="Calibri" w:eastAsia="Calibri"/>
                <w:b w:val="0"/>
                <w:i w:val="0"/>
                <w:color w:val="1F2933"/>
                <w:sz w:val="18"/>
              </w:rPr>
              <w:t>Réseautage et mentorat à Tuléar ; appui à la commercialisation et à l'accès au financement ; participation aux foires</w:t>
            </w:r>
          </w:p>
        </w:tc>
        <w:tc>
          <w:tcPr>
            <w:tcW w:type="dxa" w:w="2880"/>
            <w:tcMar>
              <w:top w:w="60" w:type="dxa"/>
              <w:left w:w="80" w:type="dxa"/>
              <w:bottom w:w="60" w:type="dxa"/>
              <w:right w:w="80" w:type="dxa"/>
            </w:tcMar>
          </w:tcPr>
          <w:p>
            <w:r/>
            <w:r>
              <w:rPr>
                <w:rFonts w:ascii="Calibri" w:hAnsi="Calibri" w:eastAsia="Calibri"/>
                <w:b w:val="0"/>
                <w:i w:val="0"/>
                <w:color w:val="1F2933"/>
                <w:sz w:val="18"/>
              </w:rPr>
              <w:t>OP mises en relation avec mentors et acteurs de marché</w:t>
            </w:r>
          </w:p>
        </w:tc>
      </w:tr>
      <w:tr>
        <w:tc>
          <w:tcPr>
            <w:tcW w:type="dxa" w:w="2880"/>
            <w:tcMar>
              <w:top w:w="60" w:type="dxa"/>
              <w:left w:w="80" w:type="dxa"/>
              <w:bottom w:w="60" w:type="dxa"/>
              <w:right w:w="80" w:type="dxa"/>
            </w:tcMar>
          </w:tcPr>
          <w:p>
            <w:r/>
            <w:r>
              <w:rPr>
                <w:rFonts w:ascii="Calibri" w:hAnsi="Calibri" w:eastAsia="Calibri"/>
                <w:b w:val="0"/>
                <w:i w:val="0"/>
                <w:color w:val="1F2933"/>
                <w:sz w:val="18"/>
              </w:rPr>
              <w:t>Mois 8 à 10</w:t>
            </w:r>
          </w:p>
        </w:tc>
        <w:tc>
          <w:tcPr>
            <w:tcW w:type="dxa" w:w="2880"/>
            <w:tcMar>
              <w:top w:w="60" w:type="dxa"/>
              <w:left w:w="80" w:type="dxa"/>
              <w:bottom w:w="60" w:type="dxa"/>
              <w:right w:w="80" w:type="dxa"/>
            </w:tcMar>
          </w:tcPr>
          <w:p>
            <w:r/>
            <w:r>
              <w:rPr>
                <w:rFonts w:ascii="Calibri" w:hAnsi="Calibri" w:eastAsia="Calibri"/>
                <w:b w:val="0"/>
                <w:i w:val="0"/>
                <w:color w:val="1F2933"/>
                <w:sz w:val="18"/>
              </w:rPr>
              <w:t>Mentoring post-programme, suivi des incubés, capitalisation, documentation des réussites</w:t>
            </w:r>
          </w:p>
        </w:tc>
        <w:tc>
          <w:tcPr>
            <w:tcW w:type="dxa" w:w="2880"/>
            <w:tcMar>
              <w:top w:w="60" w:type="dxa"/>
              <w:left w:w="80" w:type="dxa"/>
              <w:bottom w:w="60" w:type="dxa"/>
              <w:right w:w="80" w:type="dxa"/>
            </w:tcMar>
          </w:tcPr>
          <w:p>
            <w:r/>
            <w:r>
              <w:rPr>
                <w:rFonts w:ascii="Calibri" w:hAnsi="Calibri" w:eastAsia="Calibri"/>
                <w:b w:val="0"/>
                <w:i w:val="0"/>
                <w:color w:val="1F2933"/>
                <w:sz w:val="18"/>
              </w:rPr>
              <w:t>Rapport final (mois 10) avec pièces justificatives et rapprochement financier</w:t>
            </w:r>
          </w:p>
        </w:tc>
      </w:tr>
    </w:tbl>
    <w:p>
      <w:pPr>
        <w:spacing w:line="336" w:lineRule="auto"/>
      </w:pPr>
      <w:r>
        <w:rPr>
          <w:rFonts w:ascii="Calibri" w:hAnsi="Calibri" w:eastAsia="Calibri"/>
          <w:b w:val="0"/>
          <w:i w:val="0"/>
          <w:color w:val="1F2933"/>
          <w:sz w:val="21"/>
        </w:rPr>
        <w:t>Le chronogramme prévisionnel détaillé (semaine par semaine) sera finalisé avec la FAO à la signature du contrat, conformément à l'appel, en tenant compte des saisons culturales à couvrir.</w:t>
      </w:r>
    </w:p>
    <w:p>
      <w:pPr>
        <w:spacing w:before="320" w:after="120" w:line="336" w:lineRule="auto"/>
      </w:pPr>
      <w:r>
        <w:rPr>
          <w:rFonts w:ascii="Calibri" w:hAnsi="Calibri" w:eastAsia="Calibri"/>
          <w:b/>
          <w:i w:val="0"/>
          <w:color w:val="1F4E79"/>
          <w:sz w:val="28"/>
        </w:rPr>
        <w:t>6. Organisation et équipe</w:t>
      </w:r>
    </w:p>
    <w:p>
      <w:pPr>
        <w:spacing w:line="336" w:lineRule="auto"/>
      </w:pPr>
      <w:r>
        <w:rPr>
          <w:rFonts w:ascii="Calibri" w:hAnsi="Calibri" w:eastAsia="Calibri"/>
          <w:b w:val="0"/>
          <w:i w:val="0"/>
          <w:color w:val="1F2933"/>
          <w:sz w:val="21"/>
        </w:rPr>
        <w:t>Conformément à l'Appendice A de l'appel, chaque session mobilise 2 à 3 personnels de la SAE, dont 2 experts formateurs et un responsable administratif/logistique. L'équipe proposée répond à la composition minimale exigée par l'appel ; les CV détaillés du personnel clé seront joints en annexe (Appendice C).</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Rôle</w:t>
            </w:r>
          </w:p>
        </w:tc>
        <w:tc>
          <w:tcPr>
            <w:tcW w:type="dxa" w:w="288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Attributions principales</w:t>
            </w:r>
          </w:p>
        </w:tc>
        <w:tc>
          <w:tcPr>
            <w:tcW w:type="dxa" w:w="288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Profil / qualifications</w:t>
            </w:r>
          </w:p>
        </w:tc>
      </w:tr>
      <w:tr>
        <w:tc>
          <w:tcPr>
            <w:tcW w:type="dxa" w:w="2880"/>
            <w:tcMar>
              <w:top w:w="60" w:type="dxa"/>
              <w:left w:w="80" w:type="dxa"/>
              <w:bottom w:w="60" w:type="dxa"/>
              <w:right w:w="80" w:type="dxa"/>
            </w:tcMar>
          </w:tcPr>
          <w:p>
            <w:r/>
            <w:r>
              <w:rPr>
                <w:rFonts w:ascii="Calibri" w:hAnsi="Calibri" w:eastAsia="Calibri"/>
                <w:b w:val="0"/>
                <w:i w:val="0"/>
                <w:color w:val="1F2933"/>
                <w:sz w:val="18"/>
              </w:rPr>
              <w:t>Point focal / Chef de projet</w:t>
            </w:r>
          </w:p>
        </w:tc>
        <w:tc>
          <w:tcPr>
            <w:tcW w:type="dxa" w:w="2880"/>
            <w:tcMar>
              <w:top w:w="60" w:type="dxa"/>
              <w:left w:w="80" w:type="dxa"/>
              <w:bottom w:w="60" w:type="dxa"/>
              <w:right w:w="80" w:type="dxa"/>
            </w:tcMar>
          </w:tcPr>
          <w:p>
            <w:r/>
            <w:r>
              <w:rPr>
                <w:rFonts w:ascii="Calibri" w:hAnsi="Calibri" w:eastAsia="Calibri"/>
                <w:b w:val="0"/>
                <w:i w:val="0"/>
                <w:color w:val="1F2933"/>
                <w:sz w:val="18"/>
              </w:rPr>
              <w:t>Interlocuteur principal avec la FAO et l'UGP TEFIALA ; coordination générale, reporting, participation aux réunions de suivi et de retour d'expérience</w:t>
            </w:r>
          </w:p>
        </w:tc>
        <w:tc>
          <w:tcPr>
            <w:tcW w:type="dxa" w:w="2880"/>
            <w:tcMar>
              <w:top w:w="60" w:type="dxa"/>
              <w:left w:w="80" w:type="dxa"/>
              <w:bottom w:w="60" w:type="dxa"/>
              <w:right w:w="80" w:type="dxa"/>
            </w:tcMar>
          </w:tcPr>
          <w:p>
            <w:r/>
            <w:r>
              <w:rPr>
                <w:rFonts w:ascii="Calibri" w:hAnsi="Calibri" w:eastAsia="Calibri"/>
                <w:b w:val="0"/>
                <w:i/>
                <w:color w:val="B45309"/>
                <w:sz w:val="18"/>
              </w:rPr>
              <w:t>(à compléter : nom, CV)</w:t>
            </w:r>
            <w:r>
              <w:rPr>
                <w:rFonts w:ascii="Calibri" w:hAnsi="Calibri" w:eastAsia="Calibri"/>
                <w:b w:val="0"/>
                <w:i w:val="0"/>
                <w:color w:val="1F2933"/>
                <w:sz w:val="18"/>
              </w:rPr>
              <w:t xml:space="preserve"> — expérience confirmée en gestion de projets d'incubation et de développement</w:t>
            </w:r>
          </w:p>
        </w:tc>
      </w:tr>
      <w:tr>
        <w:tc>
          <w:tcPr>
            <w:tcW w:type="dxa" w:w="2880"/>
            <w:tcMar>
              <w:top w:w="60" w:type="dxa"/>
              <w:left w:w="80" w:type="dxa"/>
              <w:bottom w:w="60" w:type="dxa"/>
              <w:right w:w="80" w:type="dxa"/>
            </w:tcMar>
          </w:tcPr>
          <w:p>
            <w:r/>
            <w:r>
              <w:rPr>
                <w:rFonts w:ascii="Calibri" w:hAnsi="Calibri" w:eastAsia="Calibri"/>
                <w:b w:val="0"/>
                <w:i w:val="0"/>
                <w:color w:val="1F2933"/>
                <w:sz w:val="18"/>
              </w:rPr>
              <w:t>Expert formateur 1 — compétences organisationnelles</w:t>
            </w:r>
          </w:p>
        </w:tc>
        <w:tc>
          <w:tcPr>
            <w:tcW w:type="dxa" w:w="2880"/>
            <w:tcMar>
              <w:top w:w="60" w:type="dxa"/>
              <w:left w:w="80" w:type="dxa"/>
              <w:bottom w:w="60" w:type="dxa"/>
              <w:right w:w="80" w:type="dxa"/>
            </w:tcMar>
          </w:tcPr>
          <w:p>
            <w:r/>
            <w:r>
              <w:rPr>
                <w:rFonts w:ascii="Calibri" w:hAnsi="Calibri" w:eastAsia="Calibri"/>
                <w:b w:val="0"/>
                <w:i w:val="0"/>
                <w:color w:val="1F2933"/>
                <w:sz w:val="18"/>
              </w:rPr>
              <w:t>Conception et animation des modules gouvernance interne, gestion participative, leadership, outils de gestion collective</w:t>
            </w:r>
          </w:p>
        </w:tc>
        <w:tc>
          <w:tcPr>
            <w:tcW w:type="dxa" w:w="2880"/>
            <w:tcMar>
              <w:top w:w="60" w:type="dxa"/>
              <w:left w:w="80" w:type="dxa"/>
              <w:bottom w:w="60" w:type="dxa"/>
              <w:right w:w="80" w:type="dxa"/>
            </w:tcMar>
          </w:tcPr>
          <w:p>
            <w:r/>
            <w:r>
              <w:rPr>
                <w:rFonts w:ascii="Calibri" w:hAnsi="Calibri" w:eastAsia="Calibri"/>
                <w:b w:val="0"/>
                <w:i/>
                <w:color w:val="B45309"/>
                <w:sz w:val="18"/>
              </w:rPr>
              <w:t>(à compléter : nom, CV)</w:t>
            </w:r>
            <w:r>
              <w:rPr>
                <w:rFonts w:ascii="Calibri" w:hAnsi="Calibri" w:eastAsia="Calibri"/>
                <w:b w:val="0"/>
                <w:i w:val="0"/>
                <w:color w:val="1F2933"/>
                <w:sz w:val="18"/>
              </w:rPr>
              <w:t xml:space="preserve"> — maîtrise des standards GERME / Thinkcoop</w:t>
            </w:r>
          </w:p>
        </w:tc>
      </w:tr>
      <w:tr>
        <w:tc>
          <w:tcPr>
            <w:tcW w:type="dxa" w:w="2880"/>
            <w:tcMar>
              <w:top w:w="60" w:type="dxa"/>
              <w:left w:w="80" w:type="dxa"/>
              <w:bottom w:w="60" w:type="dxa"/>
              <w:right w:w="80" w:type="dxa"/>
            </w:tcMar>
          </w:tcPr>
          <w:p>
            <w:r/>
            <w:r>
              <w:rPr>
                <w:rFonts w:ascii="Calibri" w:hAnsi="Calibri" w:eastAsia="Calibri"/>
                <w:b w:val="0"/>
                <w:i w:val="0"/>
                <w:color w:val="1F2933"/>
                <w:sz w:val="18"/>
              </w:rPr>
              <w:t>Expert formateur 2 — compétences entrepreneuriales</w:t>
            </w:r>
          </w:p>
        </w:tc>
        <w:tc>
          <w:tcPr>
            <w:tcW w:type="dxa" w:w="2880"/>
            <w:tcMar>
              <w:top w:w="60" w:type="dxa"/>
              <w:left w:w="80" w:type="dxa"/>
              <w:bottom w:w="60" w:type="dxa"/>
              <w:right w:w="80" w:type="dxa"/>
            </w:tcMar>
          </w:tcPr>
          <w:p>
            <w:r/>
            <w:r>
              <w:rPr>
                <w:rFonts w:ascii="Calibri" w:hAnsi="Calibri" w:eastAsia="Calibri"/>
                <w:b w:val="0"/>
                <w:i w:val="0"/>
                <w:color w:val="1F2933"/>
                <w:sz w:val="18"/>
              </w:rPr>
              <w:t>Conception et animation des modules plan d'affaires, gestion financière, marketing, accès au financement</w:t>
            </w:r>
          </w:p>
        </w:tc>
        <w:tc>
          <w:tcPr>
            <w:tcW w:type="dxa" w:w="2880"/>
            <w:tcMar>
              <w:top w:w="60" w:type="dxa"/>
              <w:left w:w="80" w:type="dxa"/>
              <w:bottom w:w="60" w:type="dxa"/>
              <w:right w:w="80" w:type="dxa"/>
            </w:tcMar>
          </w:tcPr>
          <w:p>
            <w:r/>
            <w:r>
              <w:rPr>
                <w:rFonts w:ascii="Calibri" w:hAnsi="Calibri" w:eastAsia="Calibri"/>
                <w:b w:val="0"/>
                <w:i/>
                <w:color w:val="B45309"/>
                <w:sz w:val="18"/>
              </w:rPr>
              <w:t>(à compléter : nom, CV)</w:t>
            </w:r>
            <w:r>
              <w:rPr>
                <w:rFonts w:ascii="Calibri" w:hAnsi="Calibri" w:eastAsia="Calibri"/>
                <w:b w:val="0"/>
                <w:i w:val="0"/>
                <w:color w:val="1F2933"/>
                <w:sz w:val="18"/>
              </w:rPr>
              <w:t xml:space="preserve"> — expérience en accompagnement d'entreprises vertes</w:t>
            </w:r>
          </w:p>
        </w:tc>
      </w:tr>
      <w:tr>
        <w:tc>
          <w:tcPr>
            <w:tcW w:type="dxa" w:w="2880"/>
            <w:tcMar>
              <w:top w:w="60" w:type="dxa"/>
              <w:left w:w="80" w:type="dxa"/>
              <w:bottom w:w="60" w:type="dxa"/>
              <w:right w:w="80" w:type="dxa"/>
            </w:tcMar>
          </w:tcPr>
          <w:p>
            <w:r/>
            <w:r>
              <w:rPr>
                <w:rFonts w:ascii="Calibri" w:hAnsi="Calibri" w:eastAsia="Calibri"/>
                <w:b w:val="0"/>
                <w:i w:val="0"/>
                <w:color w:val="1F2933"/>
                <w:sz w:val="18"/>
              </w:rPr>
              <w:t>Responsable administratif et logistique</w:t>
            </w:r>
          </w:p>
        </w:tc>
        <w:tc>
          <w:tcPr>
            <w:tcW w:type="dxa" w:w="2880"/>
            <w:tcMar>
              <w:top w:w="60" w:type="dxa"/>
              <w:left w:w="80" w:type="dxa"/>
              <w:bottom w:w="60" w:type="dxa"/>
              <w:right w:w="80" w:type="dxa"/>
            </w:tcMar>
          </w:tcPr>
          <w:p>
            <w:r/>
            <w:r>
              <w:rPr>
                <w:rFonts w:ascii="Calibri" w:hAnsi="Calibri" w:eastAsia="Calibri"/>
                <w:b w:val="0"/>
                <w:i w:val="0"/>
                <w:color w:val="1F2933"/>
                <w:sz w:val="18"/>
              </w:rPr>
              <w:t>Organisation des sessions, déplacements, logistique des bootcamps, gestion documentaire</w:t>
            </w:r>
          </w:p>
        </w:tc>
        <w:tc>
          <w:tcPr>
            <w:tcW w:type="dxa" w:w="2880"/>
            <w:tcMar>
              <w:top w:w="60" w:type="dxa"/>
              <w:left w:w="80" w:type="dxa"/>
              <w:bottom w:w="60" w:type="dxa"/>
              <w:right w:w="80" w:type="dxa"/>
            </w:tcMar>
          </w:tcPr>
          <w:p>
            <w:r/>
            <w:r>
              <w:rPr>
                <w:rFonts w:ascii="Calibri" w:hAnsi="Calibri" w:eastAsia="Calibri"/>
                <w:b w:val="0"/>
                <w:i/>
                <w:color w:val="B45309"/>
                <w:sz w:val="18"/>
              </w:rPr>
              <w:t>(à compléter : nom, CV)</w:t>
            </w:r>
          </w:p>
        </w:tc>
      </w:tr>
      <w:tr>
        <w:tc>
          <w:tcPr>
            <w:tcW w:type="dxa" w:w="2880"/>
            <w:tcMar>
              <w:top w:w="60" w:type="dxa"/>
              <w:left w:w="80" w:type="dxa"/>
              <w:bottom w:w="60" w:type="dxa"/>
              <w:right w:w="80" w:type="dxa"/>
            </w:tcMar>
          </w:tcPr>
          <w:p>
            <w:r/>
            <w:r>
              <w:rPr>
                <w:rFonts w:ascii="Calibri" w:hAnsi="Calibri" w:eastAsia="Calibri"/>
                <w:b w:val="0"/>
                <w:i w:val="0"/>
                <w:color w:val="1F2933"/>
                <w:sz w:val="18"/>
              </w:rPr>
              <w:t>Mentors et experts associés</w:t>
            </w:r>
          </w:p>
        </w:tc>
        <w:tc>
          <w:tcPr>
            <w:tcW w:type="dxa" w:w="2880"/>
            <w:tcMar>
              <w:top w:w="60" w:type="dxa"/>
              <w:left w:w="80" w:type="dxa"/>
              <w:bottom w:w="60" w:type="dxa"/>
              <w:right w:w="80" w:type="dxa"/>
            </w:tcMar>
          </w:tcPr>
          <w:p>
            <w:r/>
            <w:r>
              <w:rPr>
                <w:rFonts w:ascii="Calibri" w:hAnsi="Calibri" w:eastAsia="Calibri"/>
                <w:b w:val="0"/>
                <w:i w:val="0"/>
                <w:color w:val="1F2933"/>
                <w:sz w:val="18"/>
              </w:rPr>
              <w:t>Mentorat des OP incubées, appui à la mise en relation commerciale et au financement</w:t>
            </w:r>
          </w:p>
        </w:tc>
        <w:tc>
          <w:tcPr>
            <w:tcW w:type="dxa" w:w="2880"/>
            <w:tcMar>
              <w:top w:w="60" w:type="dxa"/>
              <w:left w:w="80" w:type="dxa"/>
              <w:bottom w:w="60" w:type="dxa"/>
              <w:right w:w="80" w:type="dxa"/>
            </w:tcMar>
          </w:tcPr>
          <w:p>
            <w:r/>
            <w:r>
              <w:rPr>
                <w:rFonts w:ascii="Calibri" w:hAnsi="Calibri" w:eastAsia="Calibri"/>
                <w:b w:val="0"/>
                <w:i w:val="0"/>
                <w:color w:val="1F2933"/>
                <w:sz w:val="18"/>
              </w:rPr>
              <w:t xml:space="preserve">Réseau CARSO de mentors spécialisés dans les secteurs agricole, forestier et économie bleue </w:t>
            </w:r>
            <w:r>
              <w:rPr>
                <w:rFonts w:ascii="Calibri" w:hAnsi="Calibri" w:eastAsia="Calibri"/>
                <w:b w:val="0"/>
                <w:i/>
                <w:color w:val="B45309"/>
                <w:sz w:val="18"/>
              </w:rPr>
              <w:t>(liste à compléter)</w:t>
            </w:r>
          </w:p>
        </w:tc>
      </w:tr>
    </w:tbl>
    <w:p>
      <w:pPr>
        <w:spacing w:line="336" w:lineRule="auto"/>
      </w:pPr>
      <w:r>
        <w:rPr>
          <w:rFonts w:ascii="Calibri" w:hAnsi="Calibri" w:eastAsia="Calibri"/>
          <w:b w:val="0"/>
          <w:i w:val="0"/>
          <w:color w:val="1F2933"/>
          <w:sz w:val="21"/>
        </w:rPr>
        <w:t>Tout changement de personnel clé sera soumis à l'approbation préalable du projet TEFIALA, conformément à l'appel.</w:t>
      </w:r>
    </w:p>
    <w:p>
      <w:pPr>
        <w:spacing w:before="320" w:after="120" w:line="336" w:lineRule="auto"/>
      </w:pPr>
      <w:r>
        <w:rPr>
          <w:rFonts w:ascii="Calibri" w:hAnsi="Calibri" w:eastAsia="Calibri"/>
          <w:b/>
          <w:i w:val="0"/>
          <w:color w:val="1F4E79"/>
          <w:sz w:val="28"/>
        </w:rPr>
        <w:t>7. Moyens et logistique</w:t>
      </w:r>
    </w:p>
    <w:p>
      <w:pPr>
        <w:pStyle w:val="ListBullet"/>
        <w:spacing w:line="336" w:lineRule="auto"/>
      </w:pPr>
      <w:r>
        <w:rPr>
          <w:rFonts w:ascii="Calibri" w:hAnsi="Calibri" w:eastAsia="Calibri"/>
          <w:b/>
          <w:i w:val="0"/>
          <w:color w:val="1F2933"/>
          <w:sz w:val="21"/>
        </w:rPr>
        <w:t>Local et infrastructures :</w:t>
      </w:r>
      <w:r>
        <w:rPr>
          <w:rFonts w:ascii="Calibri" w:hAnsi="Calibri" w:eastAsia="Calibri"/>
          <w:b w:val="0"/>
          <w:i w:val="0"/>
          <w:color w:val="1F2933"/>
          <w:sz w:val="21"/>
        </w:rPr>
        <w:t xml:space="preserve"> le CARSO dispose d'un local à la CCI Tsimenatsy (Toliara) pouvant accueillir les séances de partage avec les mentors et de réseautage ; les formations et le suivi-coaching se déroulent au niveau du paysage PBM.</w:t>
      </w:r>
    </w:p>
    <w:p>
      <w:pPr>
        <w:pStyle w:val="ListBullet"/>
        <w:spacing w:line="336" w:lineRule="auto"/>
      </w:pPr>
      <w:r>
        <w:rPr>
          <w:rFonts w:ascii="Calibri" w:hAnsi="Calibri" w:eastAsia="Calibri"/>
          <w:b/>
          <w:i w:val="0"/>
          <w:color w:val="1F2933"/>
          <w:sz w:val="21"/>
        </w:rPr>
        <w:t>Outils pédagogiques :</w:t>
      </w:r>
      <w:r>
        <w:rPr>
          <w:rFonts w:ascii="Calibri" w:hAnsi="Calibri" w:eastAsia="Calibri"/>
          <w:b w:val="0"/>
          <w:i w:val="0"/>
          <w:color w:val="1F2933"/>
          <w:sz w:val="21"/>
        </w:rPr>
        <w:t xml:space="preserve"> mise à disposition des supports de formation, capitalisés et adaptés au contexte du PBM (standards GERME et Thinkcoop).</w:t>
      </w:r>
    </w:p>
    <w:p>
      <w:pPr>
        <w:pStyle w:val="ListBullet"/>
        <w:spacing w:line="336" w:lineRule="auto"/>
      </w:pPr>
      <w:r>
        <w:rPr>
          <w:rFonts w:ascii="Calibri" w:hAnsi="Calibri" w:eastAsia="Calibri"/>
          <w:b/>
          <w:i w:val="0"/>
          <w:color w:val="1F2933"/>
          <w:sz w:val="21"/>
        </w:rPr>
        <w:t>Déplacements :</w:t>
      </w:r>
      <w:r>
        <w:rPr>
          <w:rFonts w:ascii="Calibri" w:hAnsi="Calibri" w:eastAsia="Calibri"/>
          <w:b w:val="0"/>
          <w:i w:val="0"/>
          <w:color w:val="1F2933"/>
          <w:sz w:val="21"/>
        </w:rPr>
        <w:t xml:space="preserve"> missions de terrain dans les communes du PBM (district </w:t>
      </w:r>
      <w:r>
        <w:rPr>
          <w:rFonts w:ascii="Calibri" w:hAnsi="Calibri" w:eastAsia="Calibri"/>
          <w:b w:val="0"/>
          <w:i/>
          <w:color w:val="B45309"/>
          <w:sz w:val="21"/>
        </w:rPr>
        <w:t>(à compléter)</w:t>
      </w:r>
      <w:r>
        <w:rPr>
          <w:rFonts w:ascii="Calibri" w:hAnsi="Calibri" w:eastAsia="Calibri"/>
          <w:b w:val="0"/>
          <w:i w:val="0"/>
          <w:color w:val="1F2933"/>
          <w:sz w:val="21"/>
        </w:rPr>
        <w:t>) ; déplacements de coordination à Antananarivo (FAO, MEDD, MINAE) et à Tuléar (DREDD, DRAE).</w:t>
      </w:r>
    </w:p>
    <w:p>
      <w:pPr>
        <w:pStyle w:val="ListBullet"/>
        <w:spacing w:line="336" w:lineRule="auto"/>
      </w:pPr>
      <w:r>
        <w:rPr>
          <w:rFonts w:ascii="Calibri" w:hAnsi="Calibri" w:eastAsia="Calibri"/>
          <w:b/>
          <w:i w:val="0"/>
          <w:color w:val="1F2933"/>
          <w:sz w:val="21"/>
        </w:rPr>
        <w:t>Collecte de données :</w:t>
      </w:r>
      <w:r>
        <w:rPr>
          <w:rFonts w:ascii="Calibri" w:hAnsi="Calibri" w:eastAsia="Calibri"/>
          <w:b w:val="0"/>
          <w:i w:val="0"/>
          <w:color w:val="1F2933"/>
          <w:sz w:val="21"/>
        </w:rPr>
        <w:t xml:space="preserve"> outils numériques (tablettes/smartphones) pour la collecte de données terrain et l'accès équitable à la formation des participants sans outils numériques, conformément aux catégories de dépenses autorisées de l'appel.</w:t>
      </w:r>
    </w:p>
    <w:p>
      <w:pPr>
        <w:pStyle w:val="ListBullet"/>
        <w:spacing w:line="336" w:lineRule="auto"/>
      </w:pPr>
      <w:r>
        <w:rPr>
          <w:rFonts w:ascii="Calibri" w:hAnsi="Calibri" w:eastAsia="Calibri"/>
          <w:b/>
          <w:i w:val="0"/>
          <w:color w:val="1F2933"/>
          <w:sz w:val="21"/>
        </w:rPr>
        <w:t>Événements commerciaux :</w:t>
      </w:r>
      <w:r>
        <w:rPr>
          <w:rFonts w:ascii="Calibri" w:hAnsi="Calibri" w:eastAsia="Calibri"/>
          <w:b w:val="0"/>
          <w:i w:val="0"/>
          <w:color w:val="1F2933"/>
          <w:sz w:val="21"/>
        </w:rPr>
        <w:t xml:space="preserve"> appui à la participation des incubés à des foires régionales et nationales.</w:t>
      </w:r>
    </w:p>
    <w:p>
      <w:pPr>
        <w:spacing w:before="320" w:after="120" w:line="336" w:lineRule="auto"/>
      </w:pPr>
      <w:r>
        <w:rPr>
          <w:rFonts w:ascii="Calibri" w:hAnsi="Calibri" w:eastAsia="Calibri"/>
          <w:b/>
          <w:i w:val="0"/>
          <w:color w:val="1F4E79"/>
          <w:sz w:val="28"/>
        </w:rPr>
        <w:t>8. Livrables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Livrable</w:t>
            </w:r>
          </w:p>
        </w:tc>
        <w:tc>
          <w:tcPr>
            <w:tcW w:type="dxa" w:w="288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Contenu</w:t>
            </w:r>
          </w:p>
        </w:tc>
        <w:tc>
          <w:tcPr>
            <w:tcW w:type="dxa" w:w="288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Échéance</w:t>
            </w:r>
          </w:p>
        </w:tc>
      </w:tr>
      <w:tr>
        <w:tc>
          <w:tcPr>
            <w:tcW w:type="dxa" w:w="2880"/>
            <w:tcMar>
              <w:top w:w="60" w:type="dxa"/>
              <w:left w:w="80" w:type="dxa"/>
              <w:bottom w:w="60" w:type="dxa"/>
              <w:right w:w="80" w:type="dxa"/>
            </w:tcMar>
          </w:tcPr>
          <w:p>
            <w:r/>
            <w:r>
              <w:rPr>
                <w:rFonts w:ascii="Calibri" w:hAnsi="Calibri" w:eastAsia="Calibri"/>
                <w:b w:val="0"/>
                <w:i w:val="0"/>
                <w:color w:val="1F2933"/>
                <w:sz w:val="18"/>
              </w:rPr>
              <w:t>Rapport initial</w:t>
            </w:r>
          </w:p>
        </w:tc>
        <w:tc>
          <w:tcPr>
            <w:tcW w:type="dxa" w:w="2880"/>
            <w:tcMar>
              <w:top w:w="60" w:type="dxa"/>
              <w:left w:w="80" w:type="dxa"/>
              <w:bottom w:w="60" w:type="dxa"/>
              <w:right w:w="80" w:type="dxa"/>
            </w:tcMar>
          </w:tcPr>
          <w:p>
            <w:r/>
            <w:r>
              <w:rPr>
                <w:rFonts w:ascii="Calibri" w:hAnsi="Calibri" w:eastAsia="Calibri"/>
                <w:b w:val="0"/>
                <w:i w:val="0"/>
                <w:color w:val="1F2933"/>
                <w:sz w:val="18"/>
              </w:rPr>
              <w:t>Plan de travail détaillé, stratégie de mobilisation des parties prenantes, calendrier d'adaptation du programme, mécanismes de coordination</w:t>
            </w:r>
          </w:p>
        </w:tc>
        <w:tc>
          <w:tcPr>
            <w:tcW w:type="dxa" w:w="2880"/>
            <w:tcMar>
              <w:top w:w="60" w:type="dxa"/>
              <w:left w:w="80" w:type="dxa"/>
              <w:bottom w:w="60" w:type="dxa"/>
              <w:right w:w="80" w:type="dxa"/>
            </w:tcMar>
          </w:tcPr>
          <w:p>
            <w:r/>
            <w:r>
              <w:rPr>
                <w:rFonts w:ascii="Calibri" w:hAnsi="Calibri" w:eastAsia="Calibri"/>
                <w:b w:val="0"/>
                <w:i w:val="0"/>
                <w:color w:val="1F2933"/>
                <w:sz w:val="18"/>
              </w:rPr>
              <w:t>Mois 1</w:t>
            </w:r>
          </w:p>
        </w:tc>
      </w:tr>
      <w:tr>
        <w:tc>
          <w:tcPr>
            <w:tcW w:type="dxa" w:w="2880"/>
            <w:tcMar>
              <w:top w:w="60" w:type="dxa"/>
              <w:left w:w="80" w:type="dxa"/>
              <w:bottom w:w="60" w:type="dxa"/>
              <w:right w:w="80" w:type="dxa"/>
            </w:tcMar>
          </w:tcPr>
          <w:p>
            <w:r/>
            <w:r>
              <w:rPr>
                <w:rFonts w:ascii="Calibri" w:hAnsi="Calibri" w:eastAsia="Calibri"/>
                <w:b w:val="0"/>
                <w:i w:val="0"/>
                <w:color w:val="1F2933"/>
                <w:sz w:val="18"/>
              </w:rPr>
              <w:t>Premier rapport d'étape</w:t>
            </w:r>
          </w:p>
        </w:tc>
        <w:tc>
          <w:tcPr>
            <w:tcW w:type="dxa" w:w="2880"/>
            <w:tcMar>
              <w:top w:w="60" w:type="dxa"/>
              <w:left w:w="80" w:type="dxa"/>
              <w:bottom w:w="60" w:type="dxa"/>
              <w:right w:w="80" w:type="dxa"/>
            </w:tcMar>
          </w:tcPr>
          <w:p>
            <w:r/>
            <w:r>
              <w:rPr>
                <w:rFonts w:ascii="Calibri" w:hAnsi="Calibri" w:eastAsia="Calibri"/>
                <w:b w:val="0"/>
                <w:i w:val="0"/>
                <w:color w:val="1F2933"/>
                <w:sz w:val="18"/>
              </w:rPr>
              <w:t>Achèvement des activités d'identification et de mobilisation, listes de participants</w:t>
            </w:r>
          </w:p>
        </w:tc>
        <w:tc>
          <w:tcPr>
            <w:tcW w:type="dxa" w:w="2880"/>
            <w:tcMar>
              <w:top w:w="60" w:type="dxa"/>
              <w:left w:w="80" w:type="dxa"/>
              <w:bottom w:w="60" w:type="dxa"/>
              <w:right w:w="80" w:type="dxa"/>
            </w:tcMar>
          </w:tcPr>
          <w:p>
            <w:r/>
            <w:r>
              <w:rPr>
                <w:rFonts w:ascii="Calibri" w:hAnsi="Calibri" w:eastAsia="Calibri"/>
                <w:b w:val="0"/>
                <w:i w:val="0"/>
                <w:color w:val="1F2933"/>
                <w:sz w:val="18"/>
              </w:rPr>
              <w:t>Fin mois 1</w:t>
            </w:r>
          </w:p>
        </w:tc>
      </w:tr>
      <w:tr>
        <w:tc>
          <w:tcPr>
            <w:tcW w:type="dxa" w:w="2880"/>
            <w:tcMar>
              <w:top w:w="60" w:type="dxa"/>
              <w:left w:w="80" w:type="dxa"/>
              <w:bottom w:w="60" w:type="dxa"/>
              <w:right w:w="80" w:type="dxa"/>
            </w:tcMar>
          </w:tcPr>
          <w:p>
            <w:r/>
            <w:r>
              <w:rPr>
                <w:rFonts w:ascii="Calibri" w:hAnsi="Calibri" w:eastAsia="Calibri"/>
                <w:b w:val="0"/>
                <w:i w:val="0"/>
                <w:color w:val="1F2933"/>
                <w:sz w:val="18"/>
              </w:rPr>
              <w:t>Deuxième rapport d'étape</w:t>
            </w:r>
          </w:p>
        </w:tc>
        <w:tc>
          <w:tcPr>
            <w:tcW w:type="dxa" w:w="2880"/>
            <w:tcMar>
              <w:top w:w="60" w:type="dxa"/>
              <w:left w:w="80" w:type="dxa"/>
              <w:bottom w:w="60" w:type="dxa"/>
              <w:right w:w="80" w:type="dxa"/>
            </w:tcMar>
          </w:tcPr>
          <w:p>
            <w:r/>
            <w:r>
              <w:rPr>
                <w:rFonts w:ascii="Calibri" w:hAnsi="Calibri" w:eastAsia="Calibri"/>
                <w:b w:val="0"/>
                <w:i w:val="0"/>
                <w:color w:val="1F2933"/>
                <w:sz w:val="18"/>
              </w:rPr>
              <w:t>Preuves de la mise en œuvre des bootcamps, premiers résultats de la planification commerciale</w:t>
            </w:r>
          </w:p>
        </w:tc>
        <w:tc>
          <w:tcPr>
            <w:tcW w:type="dxa" w:w="2880"/>
            <w:tcMar>
              <w:top w:w="60" w:type="dxa"/>
              <w:left w:w="80" w:type="dxa"/>
              <w:bottom w:w="60" w:type="dxa"/>
              <w:right w:w="80" w:type="dxa"/>
            </w:tcMar>
          </w:tcPr>
          <w:p>
            <w:r/>
            <w:r>
              <w:rPr>
                <w:rFonts w:ascii="Calibri" w:hAnsi="Calibri" w:eastAsia="Calibri"/>
                <w:b w:val="0"/>
                <w:i w:val="0"/>
                <w:color w:val="1F2933"/>
                <w:sz w:val="18"/>
              </w:rPr>
              <w:t>Mois 7</w:t>
            </w:r>
          </w:p>
        </w:tc>
      </w:tr>
      <w:tr>
        <w:tc>
          <w:tcPr>
            <w:tcW w:type="dxa" w:w="2880"/>
            <w:tcMar>
              <w:top w:w="60" w:type="dxa"/>
              <w:left w:w="80" w:type="dxa"/>
              <w:bottom w:w="60" w:type="dxa"/>
              <w:right w:w="80" w:type="dxa"/>
            </w:tcMar>
          </w:tcPr>
          <w:p>
            <w:r/>
            <w:r>
              <w:rPr>
                <w:rFonts w:ascii="Calibri" w:hAnsi="Calibri" w:eastAsia="Calibri"/>
                <w:b w:val="0"/>
                <w:i w:val="0"/>
                <w:color w:val="1F2933"/>
                <w:sz w:val="18"/>
              </w:rPr>
              <w:t>Rapport final</w:t>
            </w:r>
          </w:p>
        </w:tc>
        <w:tc>
          <w:tcPr>
            <w:tcW w:type="dxa" w:w="2880"/>
            <w:tcMar>
              <w:top w:w="60" w:type="dxa"/>
              <w:left w:w="80" w:type="dxa"/>
              <w:bottom w:w="60" w:type="dxa"/>
              <w:right w:w="80" w:type="dxa"/>
            </w:tcMar>
          </w:tcPr>
          <w:p>
            <w:r/>
            <w:r>
              <w:rPr>
                <w:rFonts w:ascii="Calibri" w:hAnsi="Calibri" w:eastAsia="Calibri"/>
                <w:b w:val="0"/>
                <w:i w:val="0"/>
                <w:color w:val="1F2933"/>
                <w:sz w:val="18"/>
              </w:rPr>
              <w:t>Mise en œuvre complète du programme, résultats du mentorat, préparation à l'investissement, soutien post-formation, liens avec le marché, exemples de réussite, rapprochement financier</w:t>
            </w:r>
          </w:p>
        </w:tc>
        <w:tc>
          <w:tcPr>
            <w:tcW w:type="dxa" w:w="2880"/>
            <w:tcMar>
              <w:top w:w="60" w:type="dxa"/>
              <w:left w:w="80" w:type="dxa"/>
              <w:bottom w:w="60" w:type="dxa"/>
              <w:right w:w="80" w:type="dxa"/>
            </w:tcMar>
          </w:tcPr>
          <w:p>
            <w:r/>
            <w:r>
              <w:rPr>
                <w:rFonts w:ascii="Calibri" w:hAnsi="Calibri" w:eastAsia="Calibri"/>
                <w:b w:val="0"/>
                <w:i w:val="0"/>
                <w:color w:val="1F2933"/>
                <w:sz w:val="18"/>
              </w:rPr>
              <w:t>Mois 10</w:t>
            </w:r>
          </w:p>
        </w:tc>
      </w:tr>
      <w:tr>
        <w:tc>
          <w:tcPr>
            <w:tcW w:type="dxa" w:w="2880"/>
            <w:tcMar>
              <w:top w:w="60" w:type="dxa"/>
              <w:left w:w="80" w:type="dxa"/>
              <w:bottom w:w="60" w:type="dxa"/>
              <w:right w:w="80" w:type="dxa"/>
            </w:tcMar>
          </w:tcPr>
          <w:p>
            <w:r/>
            <w:r>
              <w:rPr>
                <w:rFonts w:ascii="Calibri" w:hAnsi="Calibri" w:eastAsia="Calibri"/>
                <w:b w:val="0"/>
                <w:i w:val="0"/>
                <w:color w:val="1F2933"/>
                <w:sz w:val="18"/>
              </w:rPr>
              <w:t>Supports de formation</w:t>
            </w:r>
          </w:p>
        </w:tc>
        <w:tc>
          <w:tcPr>
            <w:tcW w:type="dxa" w:w="2880"/>
            <w:tcMar>
              <w:top w:w="60" w:type="dxa"/>
              <w:left w:w="80" w:type="dxa"/>
              <w:bottom w:w="60" w:type="dxa"/>
              <w:right w:w="80" w:type="dxa"/>
            </w:tcMar>
          </w:tcPr>
          <w:p>
            <w:r/>
            <w:r>
              <w:rPr>
                <w:rFonts w:ascii="Calibri" w:hAnsi="Calibri" w:eastAsia="Calibri"/>
                <w:b w:val="0"/>
                <w:i w:val="0"/>
                <w:color w:val="1F2933"/>
                <w:sz w:val="18"/>
              </w:rPr>
              <w:t>Modules de formation adaptés (compétences organisationnelles et entrepreneuriales)</w:t>
            </w:r>
          </w:p>
        </w:tc>
        <w:tc>
          <w:tcPr>
            <w:tcW w:type="dxa" w:w="2880"/>
            <w:tcMar>
              <w:top w:w="60" w:type="dxa"/>
              <w:left w:w="80" w:type="dxa"/>
              <w:bottom w:w="60" w:type="dxa"/>
              <w:right w:w="80" w:type="dxa"/>
            </w:tcMar>
          </w:tcPr>
          <w:p>
            <w:r/>
            <w:r>
              <w:rPr>
                <w:rFonts w:ascii="Calibri" w:hAnsi="Calibri" w:eastAsia="Calibri"/>
                <w:b w:val="0"/>
                <w:i w:val="0"/>
                <w:color w:val="1F2933"/>
                <w:sz w:val="18"/>
              </w:rPr>
              <w:t>Avant chaque bootcamp</w:t>
            </w:r>
          </w:p>
        </w:tc>
      </w:tr>
      <w:tr>
        <w:tc>
          <w:tcPr>
            <w:tcW w:type="dxa" w:w="2880"/>
            <w:tcMar>
              <w:top w:w="60" w:type="dxa"/>
              <w:left w:w="80" w:type="dxa"/>
              <w:bottom w:w="60" w:type="dxa"/>
              <w:right w:w="80" w:type="dxa"/>
            </w:tcMar>
          </w:tcPr>
          <w:p>
            <w:r/>
            <w:r>
              <w:rPr>
                <w:rFonts w:ascii="Calibri" w:hAnsi="Calibri" w:eastAsia="Calibri"/>
                <w:b w:val="0"/>
                <w:i w:val="0"/>
                <w:color w:val="1F2933"/>
                <w:sz w:val="18"/>
              </w:rPr>
              <w:t>Fichiers de suivi des modifications</w:t>
            </w:r>
          </w:p>
        </w:tc>
        <w:tc>
          <w:tcPr>
            <w:tcW w:type="dxa" w:w="2880"/>
            <w:tcMar>
              <w:top w:w="60" w:type="dxa"/>
              <w:left w:w="80" w:type="dxa"/>
              <w:bottom w:w="60" w:type="dxa"/>
              <w:right w:w="80" w:type="dxa"/>
            </w:tcMar>
          </w:tcPr>
          <w:p>
            <w:r/>
            <w:r>
              <w:rPr>
                <w:rFonts w:ascii="Calibri" w:hAnsi="Calibri" w:eastAsia="Calibri"/>
                <w:b w:val="0"/>
                <w:i w:val="0"/>
                <w:color w:val="1F2933"/>
                <w:sz w:val="18"/>
              </w:rPr>
              <w:t>Pour chaque rapport retourné après revue FAO : traitement détaillé de chaque commentaire et recommandation</w:t>
            </w:r>
          </w:p>
        </w:tc>
        <w:tc>
          <w:tcPr>
            <w:tcW w:type="dxa" w:w="2880"/>
            <w:tcMar>
              <w:top w:w="60" w:type="dxa"/>
              <w:left w:w="80" w:type="dxa"/>
              <w:bottom w:w="60" w:type="dxa"/>
              <w:right w:w="80" w:type="dxa"/>
            </w:tcMar>
          </w:tcPr>
          <w:p>
            <w:r/>
            <w:r>
              <w:rPr>
                <w:rFonts w:ascii="Calibri" w:hAnsi="Calibri" w:eastAsia="Calibri"/>
                <w:b w:val="0"/>
                <w:i w:val="0"/>
                <w:color w:val="1F2933"/>
                <w:sz w:val="18"/>
              </w:rPr>
              <w:t>Après chaque revue FAO</w:t>
            </w:r>
          </w:p>
        </w:tc>
      </w:tr>
    </w:tbl>
    <w:p>
      <w:pPr>
        <w:spacing w:line="336" w:lineRule="auto"/>
      </w:pPr>
      <w:r>
        <w:rPr>
          <w:rFonts w:ascii="Calibri" w:hAnsi="Calibri" w:eastAsia="Calibri"/>
          <w:b w:val="0"/>
          <w:i w:val="0"/>
          <w:color w:val="1F2933"/>
          <w:sz w:val="21"/>
        </w:rPr>
        <w:t>Chaque rapport sera accompagné des pièces justificatives pertinentes (listes de participants, supports de formation, photos, documents financiers, registres de coaching) et sera soumis à la revue qualité de la FAO.</w:t>
      </w:r>
    </w:p>
    <w:p>
      <w:pPr>
        <w:spacing w:before="320" w:after="120" w:line="336" w:lineRule="auto"/>
      </w:pPr>
      <w:r>
        <w:rPr>
          <w:rFonts w:ascii="Calibri" w:hAnsi="Calibri" w:eastAsia="Calibri"/>
          <w:b/>
          <w:i w:val="0"/>
          <w:color w:val="1F4E79"/>
          <w:sz w:val="28"/>
        </w:rPr>
        <w:t>9. Qualité, suivi, évaluation et gestion des risques</w:t>
      </w:r>
    </w:p>
    <w:p>
      <w:pPr>
        <w:spacing w:before="240" w:after="80" w:line="336" w:lineRule="auto"/>
      </w:pPr>
      <w:r>
        <w:rPr>
          <w:rFonts w:ascii="Calibri" w:hAnsi="Calibri" w:eastAsia="Calibri"/>
          <w:b/>
          <w:i w:val="0"/>
          <w:color w:val="243B53"/>
          <w:sz w:val="23"/>
        </w:rPr>
        <w:t>9.1 Dispositif de suivi</w:t>
      </w:r>
    </w:p>
    <w:p>
      <w:pPr>
        <w:pStyle w:val="ListBullet"/>
        <w:spacing w:line="336" w:lineRule="auto"/>
      </w:pPr>
      <w:r>
        <w:rPr>
          <w:rFonts w:ascii="Calibri" w:hAnsi="Calibri" w:eastAsia="Calibri"/>
          <w:b w:val="0"/>
          <w:i w:val="0"/>
          <w:color w:val="1F2933"/>
          <w:sz w:val="21"/>
        </w:rPr>
        <w:t>Suivi des indicateurs de performance clés définis dans l'appel (renforcement des capacités, amélioration des pratiques, accès au marché, rentabilité des activités appuyées), avec les valeurs cibles du Paysage Bas Mangoky ;</w:t>
      </w:r>
    </w:p>
    <w:p>
      <w:pPr>
        <w:pStyle w:val="ListBullet"/>
        <w:spacing w:line="336" w:lineRule="auto"/>
      </w:pPr>
      <w:r>
        <w:rPr>
          <w:rFonts w:ascii="Calibri" w:hAnsi="Calibri" w:eastAsia="Calibri"/>
          <w:b w:val="0"/>
          <w:i w:val="0"/>
          <w:color w:val="1F2933"/>
          <w:sz w:val="21"/>
        </w:rPr>
        <w:t>Collecte et consolidation des données de suivi des OP (production, ventes, contrats d'achat) ;</w:t>
      </w:r>
    </w:p>
    <w:p>
      <w:pPr>
        <w:pStyle w:val="ListBullet"/>
        <w:spacing w:line="336" w:lineRule="auto"/>
      </w:pPr>
      <w:r>
        <w:rPr>
          <w:rFonts w:ascii="Calibri" w:hAnsi="Calibri" w:eastAsia="Calibri"/>
          <w:b w:val="0"/>
          <w:i w:val="0"/>
          <w:color w:val="1F2933"/>
          <w:sz w:val="21"/>
        </w:rPr>
        <w:t>Rapports d'avancement périodiques, participation aux réunions d'évaluation et aux sessions de retour d'expérience avec la FAO et l'UGP ;</w:t>
      </w:r>
    </w:p>
    <w:p>
      <w:pPr>
        <w:pStyle w:val="ListBullet"/>
        <w:spacing w:line="336" w:lineRule="auto"/>
      </w:pPr>
      <w:r>
        <w:rPr>
          <w:rFonts w:ascii="Calibri" w:hAnsi="Calibri" w:eastAsia="Calibri"/>
          <w:b w:val="0"/>
          <w:i w:val="0"/>
          <w:color w:val="1F2933"/>
          <w:sz w:val="21"/>
        </w:rPr>
        <w:t>Conformité aux évaluations FAO (administration, opérations, atteinte des résultats).</w:t>
      </w:r>
    </w:p>
    <w:p>
      <w:pPr>
        <w:spacing w:before="240" w:after="80" w:line="336" w:lineRule="auto"/>
      </w:pPr>
      <w:r>
        <w:rPr>
          <w:rFonts w:ascii="Calibri" w:hAnsi="Calibri" w:eastAsia="Calibri"/>
          <w:b/>
          <w:i w:val="0"/>
          <w:color w:val="243B53"/>
          <w:sz w:val="23"/>
        </w:rPr>
        <w:t>9.2 Risques identifiés et mesures prévues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4320"/>
        <w:gridCol w:w="4320"/>
      </w:tblGrid>
      <w:tr>
        <w:tc>
          <w:tcPr>
            <w:tcW w:type="dxa" w:w="432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Risque</w:t>
            </w:r>
          </w:p>
        </w:tc>
        <w:tc>
          <w:tcPr>
            <w:tcW w:type="dxa" w:w="4320"/>
            <w:shd w:val="clear" w:color="auto" w:fill="1f4e79"/>
            <w:tcMar>
              <w:top w:w="60" w:type="dxa"/>
              <w:left w:w="80" w:type="dxa"/>
              <w:bottom w:w="60" w:type="dxa"/>
              <w:right w:w="80" w:type="dxa"/>
            </w:tcMar>
          </w:tcPr>
          <w:p>
            <w:r/>
            <w:r>
              <w:rPr>
                <w:rFonts w:ascii="Calibri" w:hAnsi="Calibri" w:eastAsia="Calibri"/>
                <w:b/>
                <w:i w:val="0"/>
                <w:color w:val="FFFFFF"/>
                <w:sz w:val="18"/>
                <w:shd w:val="clear" w:color="auto" w:fill="1f4e79"/>
              </w:rPr>
              <w:t>Mesure de mitigation</w:t>
            </w:r>
          </w:p>
        </w:tc>
      </w:tr>
      <w:tr>
        <w:tc>
          <w:tcPr>
            <w:tcW w:type="dxa" w:w="4320"/>
            <w:tcMar>
              <w:top w:w="60" w:type="dxa"/>
              <w:left w:w="80" w:type="dxa"/>
              <w:bottom w:w="60" w:type="dxa"/>
              <w:right w:w="80" w:type="dxa"/>
            </w:tcMar>
          </w:tcPr>
          <w:p>
            <w:r/>
            <w:r>
              <w:rPr>
                <w:rFonts w:ascii="Calibri" w:hAnsi="Calibri" w:eastAsia="Calibri"/>
                <w:b w:val="0"/>
                <w:i w:val="0"/>
                <w:color w:val="1F2933"/>
                <w:sz w:val="18"/>
              </w:rPr>
              <w:t>Difficulté de mobilisation des incubés (saisons culturales, éloignement des communes)</w:t>
            </w:r>
          </w:p>
        </w:tc>
        <w:tc>
          <w:tcPr>
            <w:tcW w:type="dxa" w:w="4320"/>
            <w:tcMar>
              <w:top w:w="60" w:type="dxa"/>
              <w:left w:w="80" w:type="dxa"/>
              <w:bottom w:w="60" w:type="dxa"/>
              <w:right w:w="80" w:type="dxa"/>
            </w:tcMar>
          </w:tcPr>
          <w:p>
            <w:r/>
            <w:r>
              <w:rPr>
                <w:rFonts w:ascii="Calibri" w:hAnsi="Calibri" w:eastAsia="Calibri"/>
                <w:b w:val="0"/>
                <w:i w:val="0"/>
                <w:color w:val="1F2933"/>
                <w:sz w:val="18"/>
              </w:rPr>
              <w:t>Calendrier arrêté avec la FAO en tenant compte des saisons culturales ; sensibilisation préalable avec les comités guichet et les OP</w:t>
            </w:r>
          </w:p>
        </w:tc>
      </w:tr>
      <w:tr>
        <w:tc>
          <w:tcPr>
            <w:tcW w:type="dxa" w:w="4320"/>
            <w:tcMar>
              <w:top w:w="60" w:type="dxa"/>
              <w:left w:w="80" w:type="dxa"/>
              <w:bottom w:w="60" w:type="dxa"/>
              <w:right w:w="80" w:type="dxa"/>
            </w:tcMar>
          </w:tcPr>
          <w:p>
            <w:r/>
            <w:r>
              <w:rPr>
                <w:rFonts w:ascii="Calibri" w:hAnsi="Calibri" w:eastAsia="Calibri"/>
                <w:b w:val="0"/>
                <w:i w:val="0"/>
                <w:color w:val="1F2933"/>
                <w:sz w:val="18"/>
              </w:rPr>
              <w:t>Accès limité au financement des entreprises incubées</w:t>
            </w:r>
          </w:p>
        </w:tc>
        <w:tc>
          <w:tcPr>
            <w:tcW w:type="dxa" w:w="4320"/>
            <w:tcMar>
              <w:top w:w="60" w:type="dxa"/>
              <w:left w:w="80" w:type="dxa"/>
              <w:bottom w:w="60" w:type="dxa"/>
              <w:right w:w="80" w:type="dxa"/>
            </w:tcMar>
          </w:tcPr>
          <w:p>
            <w:r/>
            <w:r>
              <w:rPr>
                <w:rFonts w:ascii="Calibri" w:hAnsi="Calibri" w:eastAsia="Calibri"/>
                <w:b w:val="0"/>
                <w:i w:val="0"/>
                <w:color w:val="1F2933"/>
                <w:sz w:val="18"/>
              </w:rPr>
              <w:t>Appui dédié à la préparation à l'investissement et mise en relation avec les partenaires financiers du réseau CARSO</w:t>
            </w:r>
          </w:p>
        </w:tc>
      </w:tr>
      <w:tr>
        <w:tc>
          <w:tcPr>
            <w:tcW w:type="dxa" w:w="4320"/>
            <w:tcMar>
              <w:top w:w="60" w:type="dxa"/>
              <w:left w:w="80" w:type="dxa"/>
              <w:bottom w:w="60" w:type="dxa"/>
              <w:right w:w="80" w:type="dxa"/>
            </w:tcMar>
          </w:tcPr>
          <w:p>
            <w:r/>
            <w:r>
              <w:rPr>
                <w:rFonts w:ascii="Calibri" w:hAnsi="Calibri" w:eastAsia="Calibri"/>
                <w:b w:val="0"/>
                <w:i w:val="0"/>
                <w:color w:val="1F2933"/>
                <w:sz w:val="18"/>
              </w:rPr>
              <w:t>Retards dans les validations FAO conditionnant les tranches de paiement</w:t>
            </w:r>
          </w:p>
        </w:tc>
        <w:tc>
          <w:tcPr>
            <w:tcW w:type="dxa" w:w="4320"/>
            <w:tcMar>
              <w:top w:w="60" w:type="dxa"/>
              <w:left w:w="80" w:type="dxa"/>
              <w:bottom w:w="60" w:type="dxa"/>
              <w:right w:w="80" w:type="dxa"/>
            </w:tcMar>
          </w:tcPr>
          <w:p>
            <w:r/>
            <w:r>
              <w:rPr>
                <w:rFonts w:ascii="Calibri" w:hAnsi="Calibri" w:eastAsia="Calibri"/>
                <w:b w:val="0"/>
                <w:i w:val="0"/>
                <w:color w:val="1F2933"/>
                <w:sz w:val="18"/>
              </w:rPr>
              <w:t>Point focal dédié, remise des livrables dans les délais, fichiers de suivi des modifications systématiques</w:t>
            </w:r>
          </w:p>
        </w:tc>
      </w:tr>
      <w:tr>
        <w:tc>
          <w:tcPr>
            <w:tcW w:type="dxa" w:w="4320"/>
            <w:tcMar>
              <w:top w:w="60" w:type="dxa"/>
              <w:left w:w="80" w:type="dxa"/>
              <w:bottom w:w="60" w:type="dxa"/>
              <w:right w:w="80" w:type="dxa"/>
            </w:tcMar>
          </w:tcPr>
          <w:p>
            <w:r/>
            <w:r>
              <w:rPr>
                <w:rFonts w:ascii="Calibri" w:hAnsi="Calibri" w:eastAsia="Calibri"/>
                <w:b w:val="0"/>
                <w:i w:val="0"/>
                <w:color w:val="1F2933"/>
                <w:sz w:val="18"/>
              </w:rPr>
              <w:t>Contraintes logistiques en zone rurale (PBM)</w:t>
            </w:r>
          </w:p>
        </w:tc>
        <w:tc>
          <w:tcPr>
            <w:tcW w:type="dxa" w:w="4320"/>
            <w:tcMar>
              <w:top w:w="60" w:type="dxa"/>
              <w:left w:w="80" w:type="dxa"/>
              <w:bottom w:w="60" w:type="dxa"/>
              <w:right w:w="80" w:type="dxa"/>
            </w:tcMar>
          </w:tcPr>
          <w:p>
            <w:r/>
            <w:r>
              <w:rPr>
                <w:rFonts w:ascii="Calibri" w:hAnsi="Calibri" w:eastAsia="Calibri"/>
                <w:b w:val="0"/>
                <w:i w:val="0"/>
                <w:color w:val="1F2933"/>
                <w:sz w:val="18"/>
              </w:rPr>
              <w:t>Anticipation logistique par le responsable administratif ; sessions regroupées au niveau paysage</w:t>
            </w:r>
          </w:p>
        </w:tc>
      </w:tr>
    </w:tbl>
    <w:p>
      <w:pPr>
        <w:spacing w:before="320" w:after="120" w:line="336" w:lineRule="auto"/>
      </w:pPr>
      <w:r>
        <w:rPr>
          <w:rFonts w:ascii="Calibri" w:hAnsi="Calibri" w:eastAsia="Calibri"/>
          <w:b/>
          <w:i w:val="0"/>
          <w:color w:val="1F4E79"/>
          <w:sz w:val="28"/>
        </w:rPr>
        <w:t>10. Annexes (à joindre à la soumission)</w:t>
      </w:r>
    </w:p>
    <w:p>
      <w:pPr>
        <w:pStyle w:val="ListBullet"/>
        <w:spacing w:line="336" w:lineRule="auto"/>
      </w:pPr>
      <w:r>
        <w:rPr>
          <w:rFonts w:ascii="Calibri" w:hAnsi="Calibri" w:eastAsia="Calibri"/>
          <w:b w:val="0"/>
          <w:i w:val="0"/>
          <w:color w:val="1F2933"/>
          <w:sz w:val="21"/>
        </w:rPr>
        <w:t>Lettre de soumission signée ;</w:t>
      </w:r>
    </w:p>
    <w:p>
      <w:pPr>
        <w:pStyle w:val="ListBullet"/>
        <w:spacing w:line="336" w:lineRule="auto"/>
      </w:pPr>
      <w:r>
        <w:rPr>
          <w:rFonts w:ascii="Calibri" w:hAnsi="Calibri" w:eastAsia="Calibri"/>
          <w:b w:val="0"/>
          <w:i w:val="0"/>
          <w:color w:val="1F2933"/>
          <w:sz w:val="21"/>
        </w:rPr>
        <w:t>CV à jour et détaillés du personnel clé (Appendice C) ;</w:t>
      </w:r>
    </w:p>
    <w:p>
      <w:pPr>
        <w:pStyle w:val="ListBullet"/>
        <w:spacing w:line="336" w:lineRule="auto"/>
      </w:pPr>
      <w:r>
        <w:rPr>
          <w:rFonts w:ascii="Calibri" w:hAnsi="Calibri" w:eastAsia="Calibri"/>
          <w:b w:val="0"/>
          <w:i w:val="0"/>
          <w:color w:val="1F2933"/>
          <w:sz w:val="21"/>
        </w:rPr>
        <w:t>Copies des diplômes, certificats et attestations de travail ;</w:t>
      </w:r>
    </w:p>
    <w:p>
      <w:pPr>
        <w:pStyle w:val="ListBullet"/>
        <w:spacing w:line="336" w:lineRule="auto"/>
      </w:pPr>
      <w:r>
        <w:rPr>
          <w:rFonts w:ascii="Calibri" w:hAnsi="Calibri" w:eastAsia="Calibri"/>
          <w:b w:val="0"/>
          <w:i w:val="0"/>
          <w:color w:val="1F2933"/>
          <w:sz w:val="21"/>
        </w:rPr>
        <w:t>Documents attestant du statut d'entité à but non lucratif (récépissé, STAT, NIF à jour) ;</w:t>
      </w:r>
    </w:p>
    <w:p>
      <w:pPr>
        <w:pStyle w:val="ListBullet"/>
        <w:spacing w:line="336" w:lineRule="auto"/>
      </w:pPr>
      <w:r>
        <w:rPr>
          <w:rFonts w:ascii="Calibri" w:hAnsi="Calibri" w:eastAsia="Calibri"/>
          <w:b w:val="0"/>
          <w:i w:val="0"/>
          <w:color w:val="1F2933"/>
          <w:sz w:val="21"/>
        </w:rPr>
        <w:t>Références de prestations similaires des 5 dernières années ;</w:t>
      </w:r>
    </w:p>
    <w:p>
      <w:pPr>
        <w:pStyle w:val="ListBullet"/>
        <w:spacing w:line="336" w:lineRule="auto"/>
      </w:pPr>
      <w:r>
        <w:rPr>
          <w:rFonts w:ascii="Calibri" w:hAnsi="Calibri" w:eastAsia="Calibri"/>
          <w:b w:val="0"/>
          <w:i w:val="0"/>
          <w:color w:val="1F2933"/>
          <w:sz w:val="21"/>
        </w:rPr>
        <w:t>Coordonnées bancaires ;</w:t>
      </w:r>
    </w:p>
    <w:p>
      <w:pPr>
        <w:pStyle w:val="ListBullet"/>
        <w:spacing w:line="336" w:lineRule="auto"/>
      </w:pPr>
      <w:r>
        <w:rPr>
          <w:rFonts w:ascii="Calibri" w:hAnsi="Calibri" w:eastAsia="Calibri"/>
          <w:b w:val="0"/>
          <w:i w:val="0"/>
          <w:color w:val="1F2933"/>
          <w:sz w:val="21"/>
        </w:rPr>
        <w:t>Offre financière distincte (Partie financière, selon le modèle de l'Appendice B).</w:t>
      </w:r>
    </w:p>
    <w:p>
      <w:pPr>
        <w:spacing w:line="336" w:lineRule="auto"/>
      </w:pPr>
      <w:r>
        <w:rPr>
          <w:rFonts w:ascii="Calibri" w:hAnsi="Calibri" w:eastAsia="Calibri"/>
          <w:b w:val="0"/>
          <w:i w:val="0"/>
          <w:color w:val="1F2933"/>
          <w:sz w:val="21"/>
        </w:rPr>
        <w:t>Les pièces administratives et les CV nominatifs sont à compléter par le CARSO avant soumission.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