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4532D"/>
            <w:tcMar>
              <w:top w:w="0" w:type="dxa"/>
              <w:left w:w="800" w:type="dxa"/>
              <w:bottom w:w="0" w:type="dxa"/>
              <w:right w:w="800" w:type="dxa"/>
            </w:tcMar>
            <w:vAlign w:val="top"/>
          </w:tcPr>
          <w:p>
            <w:pPr>
              <w:spacing w:before="2806" w:after="200"/>
            </w:pPr>
            <w:r>
              <w:rPr>
                <w:b/>
                <w:color w:val="FFFFFF"/>
                <w:sz w:val="18"/>
              </w:rPr>
              <w:t>APPEL À PROPOSITION · FAO · RFP/2026/ULA/097</w:t>
            </w:r>
          </w:p>
          <w:p>
            <w:pPr>
              <w:spacing w:after="240" w:line="240" w:lineRule="auto"/>
            </w:pPr>
            <w:r>
              <w:rPr>
                <w:b/>
                <w:color w:val="FFFFFF"/>
                <w:sz w:val="64"/>
              </w:rPr>
              <w:t>Offre technique</w:t>
            </w:r>
            <w:r>
              <w:br/>
            </w:r>
            <w:r>
              <w:rPr>
                <w:b/>
                <w:color w:val="FFFFFF"/>
                <w:sz w:val="64"/>
              </w:rPr>
              <w:t>Incubation des entreprises vertes</w:t>
            </w:r>
          </w:p>
          <w:p>
            <w:r>
              <w:rPr>
                <w:color w:val="FFFFFF"/>
                <w:sz w:val="28"/>
              </w:rPr>
              <w:t>Lot 2 · Région Atsimo Andrefana, Paysage Bas Mangoky (PBM), District de Morombe, Communes d'Ambahikily et d'Antongo Vaovao</w:t>
            </w:r>
          </w:p>
          <w:p>
            <w:pPr>
              <w:pBdr>
                <w:top w:val="single" w:sz="4" w:space="6" w:color="FFFFFF"/>
              </w:pBdr>
              <w:spacing w:before="3827"/>
            </w:pPr>
            <w:r>
              <w:rPr>
                <w:b/>
                <w:color w:val="FFFFFF"/>
                <w:sz w:val="20"/>
              </w:rPr>
              <w:t>Soumissionnaire :</w:t>
            </w:r>
            <w:r>
              <w:rPr>
                <w:color w:val="FFFFFF"/>
                <w:sz w:val="20"/>
              </w:rPr>
              <w:t xml:space="preserve"> CARSO, Centre d'Affaires de la Région Sud-Ouest (statut juridique à préciser)</w:t>
            </w:r>
            <w:r>
              <w:rPr>
                <w:color w:val="FFFFFF"/>
                <w:sz w:val="20"/>
              </w:rPr>
              <w:t xml:space="preserve"> </w:t>
            </w:r>
            <w:r>
              <w:br/>
            </w:r>
            <w:r>
              <w:rPr>
                <w:b/>
                <w:color w:val="FFFFFF"/>
                <w:sz w:val="20"/>
              </w:rPr>
              <w:t>Appel :</w:t>
            </w:r>
            <w:r>
              <w:rPr>
                <w:color w:val="FFFFFF"/>
                <w:sz w:val="20"/>
              </w:rPr>
              <w:t xml:space="preserve"> ULA 097, Appel à Proposition TEFIALA 2</w:t>
            </w:r>
            <w:r>
              <w:rPr>
                <w:color w:val="FFFFFF"/>
                <w:sz w:val="20"/>
              </w:rPr>
              <w:t xml:space="preserve"> </w:t>
            </w:r>
            <w:r>
              <w:br/>
            </w:r>
            <w:r>
              <w:rPr>
                <w:b/>
                <w:color w:val="FFFFFF"/>
                <w:sz w:val="20"/>
              </w:rPr>
              <w:t>Émetteur :</w:t>
            </w:r>
            <w:r>
              <w:rPr>
                <w:color w:val="FFFFFF"/>
                <w:sz w:val="20"/>
              </w:rPr>
              <w:t xml:space="preserve"> FAO, Organisation des Nations Unies pour l'alimentation et l'agriculture (Madagascar)</w:t>
            </w:r>
            <w:r>
              <w:rPr>
                <w:color w:val="FFFFFF"/>
                <w:sz w:val="20"/>
              </w:rPr>
              <w:t xml:space="preserve"> </w:t>
            </w:r>
            <w:r>
              <w:br/>
            </w:r>
            <w:r>
              <w:rPr>
                <w:b/>
                <w:color w:val="FFFFFF"/>
                <w:sz w:val="20"/>
              </w:rPr>
              <w:t>Projet :</w:t>
            </w:r>
            <w:r>
              <w:rPr>
                <w:color w:val="FFFFFF"/>
                <w:sz w:val="20"/>
              </w:rPr>
              <w:t xml:space="preserve"> TEFIALA, code GCP/MAG/090/GFF, financement FEM-7 / GEF-7</w:t>
            </w:r>
            <w:r>
              <w:rPr>
                <w:color w:val="FFFFFF"/>
                <w:sz w:val="20"/>
              </w:rPr>
              <w:t xml:space="preserve"> </w:t>
            </w:r>
            <w:r>
              <w:br/>
            </w:r>
            <w:r>
              <w:rPr>
                <w:b/>
                <w:color w:val="FFFFFF"/>
                <w:sz w:val="20"/>
              </w:rPr>
              <w:t>Objet de l'offre :</w:t>
            </w:r>
            <w:r>
              <w:rPr>
                <w:color w:val="FFFFFF"/>
                <w:sz w:val="20"/>
              </w:rPr>
              <w:t xml:space="preserve"> Partie technique (la partie financière est soumise séparément)</w:t>
            </w:r>
            <w:r>
              <w:rPr>
                <w:color w:val="FFFFFF"/>
                <w:sz w:val="20"/>
              </w:rPr>
              <w:t xml:space="preserve"> </w:t>
            </w:r>
            <w:r>
              <w:br/>
            </w:r>
            <w:r>
              <w:rPr>
                <w:b/>
                <w:color w:val="FFFFFF"/>
                <w:sz w:val="20"/>
              </w:rPr>
              <w:t>Date de soumission :</w:t>
            </w:r>
            <w:r>
              <w:rPr>
                <w:color w:val="FFFFFF"/>
                <w:sz w:val="20"/>
              </w:rPr>
              <w:t xml:space="preserve"> (à compléter)</w:t>
            </w:r>
            <w:r>
              <w:rPr>
                <w:color w:val="FFFFFF"/>
                <w:sz w:val="20"/>
              </w:rPr>
              <w:t xml:space="preserve"> </w:t>
            </w:r>
          </w:p>
        </w:tc>
      </w:tr>
    </w:tbl>
    <w:p>
      <w:r>
        <w:br w:type="page"/>
      </w:r>
    </w:p>
    <w:p>
      <w:pPr>
        <w:spacing w:after="200"/>
      </w:pPr>
      <w:r>
        <w:rPr>
          <w:b/>
          <w:color w:val="14532D"/>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Heading1"/>
      </w:pPr>
      <w:r>
        <w:t>1. Synthèse de la proposition</w:t>
      </w:r>
    </w:p>
    <w:p>
      <w:pPr>
        <w:pStyle w:val="Lead"/>
      </w:pPr>
      <w:r>
        <w:t>CARSO propose de conduire, pour le Lot 2, le programme d'incubation des entreprises vertes du Paysage Bas Mangoky, dans les communes d'Ambahikily et d'Antongo Vaovao (District de Morombe, Région Atsimo Andrefana), afin de transformer seize (16) organisations de producteurs et trente-deux (32) entrepreneurs en acteurs engagés des chaînes de valeurs cibles, dans une logique d'entreprises vertes à impacts positifs sur les ressources naturelles.</w:t>
      </w:r>
    </w:p>
    <w:tbl>
      <w:tblPr>
        <w:tblW w:w="5000" w:type="pct"/>
        <w:jc w:val="center"/>
        <w:tblCellSpacing w:w="80" w:type="dxa"/>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2466"/>
        <w:gridCol w:w="2466"/>
        <w:gridCol w:w="2466"/>
        <w:gridCol w:w="2466"/>
      </w:tblGrid>
      <w:tr>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32</w:t>
            </w:r>
          </w:p>
          <w:p>
            <w:pPr>
              <w:spacing w:after="0"/>
              <w:jc w:val="center"/>
            </w:pPr>
            <w:r>
              <w:rPr>
                <w:color w:val="6B7280"/>
                <w:sz w:val="16"/>
              </w:rPr>
              <w:t>INCUBÉS CIBLES (16 PAR COMMUNE)</w:t>
            </w:r>
          </w:p>
        </w:tc>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16</w:t>
            </w:r>
          </w:p>
          <w:p>
            <w:pPr>
              <w:spacing w:after="0"/>
              <w:jc w:val="center"/>
            </w:pPr>
            <w:r>
              <w:rPr>
                <w:color w:val="6B7280"/>
                <w:sz w:val="16"/>
              </w:rPr>
              <w:t>OP CIBLES (8 PAR COMMUNE)</w:t>
            </w:r>
          </w:p>
        </w:tc>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400</w:t>
            </w:r>
          </w:p>
          <w:p>
            <w:pPr>
              <w:spacing w:after="0"/>
              <w:jc w:val="center"/>
            </w:pPr>
            <w:r>
              <w:rPr>
                <w:color w:val="6B7280"/>
                <w:sz w:val="16"/>
              </w:rPr>
              <w:t>MEMBRES D'OP INDIRECTEMENT BÉNÉFICIAIRES</w:t>
            </w:r>
          </w:p>
        </w:tc>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10</w:t>
            </w:r>
          </w:p>
          <w:p>
            <w:pPr>
              <w:spacing w:after="0"/>
              <w:jc w:val="center"/>
            </w:pPr>
            <w:r>
              <w:rPr>
                <w:color w:val="6B7280"/>
                <w:sz w:val="16"/>
              </w:rPr>
              <w:t>MOIS DE PROGRAMME (MAXIMUM)</w:t>
            </w:r>
          </w:p>
        </w:tc>
      </w:tr>
    </w:tbl>
    <w:p>
      <w:pPr>
        <w:spacing w:before="0" w:after="0" w:line="120" w:lineRule="exact"/>
      </w:pPr>
    </w:p>
    <w:p>
      <w:r>
        <w:t>La proposition s'appuie sur le mandat tel que défini dans les termes de référence : affiner les critères d'éligibilité, mobiliser et sélectionner les bénéficiaires, concevoir et délivrer les modules de formation (gouvernance, esprit entrepreneurial, plan d'affaires et gestion financière, marketing et commercialisation, accès au financement), accompagner les incubés vers le marché et le financement, et organiser leur mise en réseau avec des mentors et des acteurs économiques.</w:t>
      </w:r>
    </w:p>
    <w:p>
      <w:r>
        <w:t>Le dispositif proposé est structuré en quatre phases, avec un point focal dédié comme interlocuteur de la FAO et de l'Unité de Gestion du Projet (UGP) TEFIALA, et quatre rapports conditionnant les tranches de paiement.</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rPr>
                <w:b/>
                <w:color w:val="14532D"/>
              </w:rPr>
              <w:t>Données à confirmer par le soumissionnaire avant envoi.</w:t>
            </w:r>
            <w:r>
              <w:t xml:space="preserve"> Les éléments propres à l'entité qui ne figurent pas dans les termes de référence (pièces de statut juridique à but non lucratif, références de prestations des cinq dernières années, curriculum vitae des personnes clés, coordonnées bancaires) sont marqués « (à compléter) » dans ce document. La proposition financière fait l'objet d'une partie distincte et n'est pas traitée ici.</w:t>
            </w:r>
          </w:p>
        </w:tc>
      </w:tr>
    </w:tbl>
    <w:p>
      <w:pPr>
        <w:spacing w:before="0" w:after="0" w:line="120" w:lineRule="exact"/>
      </w:pPr>
    </w:p>
    <w:p>
      <w:pPr>
        <w:pStyle w:val="Heading1"/>
      </w:pPr>
      <w:r>
        <w:t>2. Compréhension du besoin</w:t>
      </w:r>
    </w:p>
    <w:p>
      <w:pPr>
        <w:pStyle w:val="Heading2"/>
      </w:pPr>
      <w:r>
        <w:t>2.1 Contexte du projet TEFIALA</w:t>
      </w:r>
    </w:p>
    <w:p>
      <w:r>
        <w:t>Le Ministère de l'Environnement et du Développement Durable (MEDD), avec l'appui financier du Fonds pour l'Environnement Mondial (FEM-7 / GEF-7) et l'appui technique de la FAO dans le cadre du Mécanisme pour la Restauration des Paysages et des Forêts (FLRM), met en œuvre le projet TEFIALA : conservation de la biodiversité, restauration et développement durable intégré des sous-bassins versants du Mangoky. Le projet vise à améliorer les services écosystémiques, l'intensification durable et la conservation de la biodiversité dans les paysages et forêts dégradés du Sud de Madagascar, par la Restauration des Paysages et des Forêts (RPF) à grande échelle. D'une durée de cinq (5) ans (2023-2028), il touche trois paysages : Volanony-Matsiatra et Ranomainty (région Haute Matsiatra) et Bas Mangoky (région Atsimo Andrefana).</w:t>
      </w:r>
    </w:p>
    <w:p>
      <w:r>
        <w:t>À travers sa composante 3 (Produit 3.1.1), le projet appuie les organisations de producteurs engagées dans les chaînes de valeurs prioritaires afin de les transformer en entreprises vertes par des programmes d'incubation. C'est dans ce cadre que la FAO, en collaboration avec le MEDD et le Ministère de l'Agriculture et de l'Élevage (MINAE), recherche des Structures d'Appui à l'Entrepreneuriat (SAE) qualifiées.</w:t>
      </w:r>
    </w:p>
    <w:p>
      <w:pPr>
        <w:pStyle w:val="Heading2"/>
      </w:pPr>
      <w:r>
        <w:t>2.2 Le lot 2 : périmètre et bénéficiaires</w:t>
      </w:r>
    </w:p>
    <w:p>
      <w:r>
        <w:t>Le mandat est subdivisé en quatre lots indépendants. Le présent lot, le Lot 2, porte sur le Paysage Bas Mangoky, District de Morombe, Région Atsimo Andrefana, et couvre les communes d'Ambahikily et d'Antongo Vaovao. Les cibles qui lui sont affectées sont les suivantes.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Commune</w:t>
            </w:r>
          </w:p>
        </w:tc>
        <w:tc>
          <w:tcPr>
            <w:tcW w:type="dxa" w:w="2466"/>
            <w:shd w:val="clear" w:color="auto" w:fill="14532D"/>
          </w:tcPr>
          <w:p>
            <w:pPr>
              <w:spacing w:after="0"/>
              <w:jc w:val="right"/>
            </w:pPr>
            <w:r>
              <w:rPr>
                <w:b/>
                <w:color w:val="FFFFFF"/>
              </w:rPr>
              <w:t>OP cibles</w:t>
            </w:r>
          </w:p>
        </w:tc>
        <w:tc>
          <w:tcPr>
            <w:tcW w:type="dxa" w:w="2466"/>
            <w:shd w:val="clear" w:color="auto" w:fill="14532D"/>
          </w:tcPr>
          <w:p>
            <w:pPr>
              <w:spacing w:after="0"/>
              <w:jc w:val="right"/>
            </w:pPr>
            <w:r>
              <w:rPr>
                <w:b/>
                <w:color w:val="FFFFFF"/>
              </w:rPr>
              <w:t>Incubés cibles</w:t>
            </w:r>
          </w:p>
        </w:tc>
        <w:tc>
          <w:tcPr>
            <w:tcW w:type="dxa" w:w="2466"/>
            <w:shd w:val="clear" w:color="auto" w:fill="14532D"/>
          </w:tcPr>
          <w:p>
            <w:pPr>
              <w:spacing w:after="0"/>
              <w:jc w:val="right"/>
            </w:pPr>
            <w:r>
              <w:rPr>
                <w:b/>
                <w:color w:val="FFFFFF"/>
              </w:rPr>
              <w:t>Membres d'OP indirectement bénéficiaires</w:t>
            </w:r>
          </w:p>
        </w:tc>
      </w:tr>
      <w:tr>
        <w:trPr>
          <w:cantSplit/>
        </w:trPr>
        <w:tc>
          <w:tcPr>
            <w:tcW w:type="dxa" w:w="2466"/>
          </w:tcPr>
          <w:p>
            <w:pPr>
              <w:spacing w:after="0"/>
            </w:pPr>
            <w:r>
              <w:t>Ambahikily</w:t>
            </w:r>
          </w:p>
        </w:tc>
        <w:tc>
          <w:tcPr>
            <w:tcW w:type="dxa" w:w="2466"/>
          </w:tcPr>
          <w:p>
            <w:pPr>
              <w:spacing w:after="0"/>
              <w:jc w:val="right"/>
            </w:pPr>
            <w:r>
              <w:t>8</w:t>
            </w:r>
          </w:p>
        </w:tc>
        <w:tc>
          <w:tcPr>
            <w:tcW w:type="dxa" w:w="2466"/>
          </w:tcPr>
          <w:p>
            <w:pPr>
              <w:spacing w:after="0"/>
              <w:jc w:val="right"/>
            </w:pPr>
            <w:r>
              <w:t>16</w:t>
            </w:r>
          </w:p>
        </w:tc>
        <w:tc>
          <w:tcPr>
            <w:tcW w:type="dxa" w:w="2466"/>
          </w:tcPr>
          <w:p>
            <w:pPr>
              <w:spacing w:after="0"/>
              <w:jc w:val="right"/>
            </w:pPr>
            <w:r>
              <w:t>200</w:t>
            </w:r>
          </w:p>
        </w:tc>
      </w:tr>
      <w:tr>
        <w:trPr>
          <w:cantSplit/>
        </w:trPr>
        <w:tc>
          <w:tcPr>
            <w:tcW w:type="dxa" w:w="2466"/>
            <w:shd w:val="clear" w:color="auto" w:fill="F0FDF4"/>
          </w:tcPr>
          <w:p>
            <w:pPr>
              <w:spacing w:after="0"/>
            </w:pPr>
            <w:r>
              <w:t>Antongo Vaovao</w:t>
            </w:r>
          </w:p>
        </w:tc>
        <w:tc>
          <w:tcPr>
            <w:tcW w:type="dxa" w:w="2466"/>
            <w:shd w:val="clear" w:color="auto" w:fill="F0FDF4"/>
          </w:tcPr>
          <w:p>
            <w:pPr>
              <w:spacing w:after="0"/>
              <w:jc w:val="right"/>
            </w:pPr>
            <w:r>
              <w:t>8</w:t>
            </w:r>
          </w:p>
        </w:tc>
        <w:tc>
          <w:tcPr>
            <w:tcW w:type="dxa" w:w="2466"/>
            <w:shd w:val="clear" w:color="auto" w:fill="F0FDF4"/>
          </w:tcPr>
          <w:p>
            <w:pPr>
              <w:spacing w:after="0"/>
              <w:jc w:val="right"/>
            </w:pPr>
            <w:r>
              <w:t>16</w:t>
            </w:r>
          </w:p>
        </w:tc>
        <w:tc>
          <w:tcPr>
            <w:tcW w:type="dxa" w:w="2466"/>
            <w:shd w:val="clear" w:color="auto" w:fill="F0FDF4"/>
          </w:tcPr>
          <w:p>
            <w:pPr>
              <w:spacing w:after="0"/>
              <w:jc w:val="right"/>
            </w:pPr>
            <w:r>
              <w:t>200</w:t>
            </w:r>
          </w:p>
        </w:tc>
      </w:tr>
      <w:tr>
        <w:trPr>
          <w:cantSplit/>
        </w:trPr>
        <w:tc>
          <w:tcPr>
            <w:tcW w:type="dxa" w:w="2466"/>
            <w:tcBorders>
              <w:top w:val="single" w:sz="12" w:space="0" w:color="14532D"/>
            </w:tcBorders>
          </w:tcPr>
          <w:p>
            <w:pPr>
              <w:spacing w:after="0"/>
            </w:pPr>
            <w:r>
              <w:rPr>
                <w:b/>
              </w:rPr>
              <w:t>Total Lot 2</w:t>
            </w:r>
          </w:p>
        </w:tc>
        <w:tc>
          <w:tcPr>
            <w:tcW w:type="dxa" w:w="2466"/>
            <w:tcBorders>
              <w:top w:val="single" w:sz="12" w:space="0" w:color="14532D"/>
            </w:tcBorders>
          </w:tcPr>
          <w:p>
            <w:pPr>
              <w:spacing w:after="0"/>
              <w:jc w:val="right"/>
            </w:pPr>
            <w:r>
              <w:rPr>
                <w:b/>
              </w:rPr>
              <w:t>16</w:t>
            </w:r>
          </w:p>
        </w:tc>
        <w:tc>
          <w:tcPr>
            <w:tcW w:type="dxa" w:w="2466"/>
            <w:tcBorders>
              <w:top w:val="single" w:sz="12" w:space="0" w:color="14532D"/>
            </w:tcBorders>
          </w:tcPr>
          <w:p>
            <w:pPr>
              <w:spacing w:after="0"/>
              <w:jc w:val="right"/>
            </w:pPr>
            <w:r>
              <w:rPr>
                <w:b/>
              </w:rPr>
              <w:t>32</w:t>
            </w:r>
          </w:p>
        </w:tc>
        <w:tc>
          <w:tcPr>
            <w:tcW w:type="dxa" w:w="2466"/>
            <w:tcBorders>
              <w:top w:val="single" w:sz="12" w:space="0" w:color="14532D"/>
            </w:tcBorders>
          </w:tcPr>
          <w:p>
            <w:pPr>
              <w:spacing w:after="0"/>
              <w:jc w:val="right"/>
            </w:pPr>
            <w:r>
              <w:rPr>
                <w:b/>
              </w:rPr>
              <w:t>400</w:t>
            </w:r>
          </w:p>
        </w:tc>
      </w:tr>
    </w:tbl>
    <w:p>
      <w:pPr>
        <w:spacing w:before="0" w:after="0" w:line="120" w:lineRule="exact"/>
      </w:pPr>
    </w:p>
    <w:p>
      <w:r>
        <w:t>Les chaînes de valeurs prioritaires du Paysage Bas Mangoky, et leurs zones de concentration, sont les suivantes :</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jc w:val="right"/>
            </w:pPr>
            <w:r>
              <w:rPr>
                <w:b/>
                <w:color w:val="FFFFFF"/>
              </w:rPr>
              <w:t>N°</w:t>
            </w:r>
          </w:p>
        </w:tc>
        <w:tc>
          <w:tcPr>
            <w:tcW w:type="dxa" w:w="2466"/>
            <w:shd w:val="clear" w:color="auto" w:fill="14532D"/>
          </w:tcPr>
          <w:p>
            <w:pPr>
              <w:spacing w:after="0"/>
            </w:pPr>
            <w:r>
              <w:rPr>
                <w:b/>
                <w:color w:val="FFFFFF"/>
              </w:rPr>
              <w:t>Chaîne de valeur</w:t>
            </w:r>
          </w:p>
        </w:tc>
        <w:tc>
          <w:tcPr>
            <w:tcW w:type="dxa" w:w="2466"/>
            <w:shd w:val="clear" w:color="auto" w:fill="14532D"/>
          </w:tcPr>
          <w:p>
            <w:pPr>
              <w:spacing w:after="0"/>
            </w:pPr>
            <w:r>
              <w:rPr>
                <w:b/>
                <w:color w:val="FFFFFF"/>
              </w:rPr>
              <w:t>Produits envisagés</w:t>
            </w:r>
          </w:p>
        </w:tc>
        <w:tc>
          <w:tcPr>
            <w:tcW w:type="dxa" w:w="2466"/>
            <w:shd w:val="clear" w:color="auto" w:fill="14532D"/>
          </w:tcPr>
          <w:p>
            <w:pPr>
              <w:spacing w:after="0"/>
            </w:pPr>
            <w:r>
              <w:rPr>
                <w:b/>
                <w:color w:val="FFFFFF"/>
              </w:rPr>
              <w:t>Zones de concentration</w:t>
            </w:r>
          </w:p>
        </w:tc>
      </w:tr>
      <w:tr>
        <w:trPr>
          <w:cantSplit/>
        </w:trPr>
        <w:tc>
          <w:tcPr>
            <w:tcW w:type="dxa" w:w="2466"/>
          </w:tcPr>
          <w:p>
            <w:pPr>
              <w:spacing w:after="0"/>
              <w:jc w:val="right"/>
            </w:pPr>
            <w:r>
              <w:t>1</w:t>
            </w:r>
          </w:p>
        </w:tc>
        <w:tc>
          <w:tcPr>
            <w:tcW w:type="dxa" w:w="2466"/>
          </w:tcPr>
          <w:p>
            <w:pPr>
              <w:spacing w:after="0"/>
            </w:pPr>
            <w:r>
              <w:t>Bois et énergie</w:t>
            </w:r>
          </w:p>
        </w:tc>
        <w:tc>
          <w:tcPr>
            <w:tcW w:type="dxa" w:w="2466"/>
          </w:tcPr>
          <w:p>
            <w:pPr>
              <w:spacing w:after="0"/>
            </w:pPr>
            <w:r>
              <w:t>Charbon écologique, jeunes plants</w:t>
            </w:r>
          </w:p>
        </w:tc>
        <w:tc>
          <w:tcPr>
            <w:tcW w:type="dxa" w:w="2466"/>
          </w:tcPr>
          <w:p>
            <w:pPr>
              <w:spacing w:after="0"/>
            </w:pPr>
            <w:r>
              <w:t>Ankatsakantsa Sud, Station, Ambahikily, Antongo Vaovao, Tanandava</w:t>
            </w:r>
          </w:p>
        </w:tc>
      </w:tr>
      <w:tr>
        <w:trPr>
          <w:cantSplit/>
        </w:trPr>
        <w:tc>
          <w:tcPr>
            <w:tcW w:type="dxa" w:w="2466"/>
            <w:shd w:val="clear" w:color="auto" w:fill="F0FDF4"/>
          </w:tcPr>
          <w:p>
            <w:pPr>
              <w:spacing w:after="0"/>
              <w:jc w:val="right"/>
            </w:pPr>
            <w:r>
              <w:t>2</w:t>
            </w:r>
          </w:p>
        </w:tc>
        <w:tc>
          <w:tcPr>
            <w:tcW w:type="dxa" w:w="2466"/>
            <w:shd w:val="clear" w:color="auto" w:fill="F0FDF4"/>
          </w:tcPr>
          <w:p>
            <w:pPr>
              <w:spacing w:after="0"/>
            </w:pPr>
            <w:r>
              <w:t>Riz</w:t>
            </w:r>
          </w:p>
        </w:tc>
        <w:tc>
          <w:tcPr>
            <w:tcW w:type="dxa" w:w="2466"/>
            <w:shd w:val="clear" w:color="auto" w:fill="F0FDF4"/>
          </w:tcPr>
          <w:p>
            <w:pPr>
              <w:spacing w:after="0"/>
            </w:pPr>
            <w:r>
              <w:t>Riz étuvé, riz blanc de qualité</w:t>
            </w:r>
          </w:p>
        </w:tc>
        <w:tc>
          <w:tcPr>
            <w:tcW w:type="dxa" w:w="2466"/>
            <w:shd w:val="clear" w:color="auto" w:fill="F0FDF4"/>
          </w:tcPr>
          <w:p>
            <w:pPr>
              <w:spacing w:after="0"/>
            </w:pPr>
            <w:r>
              <w:t>Ankatsakantsa Sud, Station, Ambahikily, Tanandava</w:t>
            </w:r>
          </w:p>
        </w:tc>
      </w:tr>
      <w:tr>
        <w:trPr>
          <w:cantSplit/>
        </w:trPr>
        <w:tc>
          <w:tcPr>
            <w:tcW w:type="dxa" w:w="2466"/>
          </w:tcPr>
          <w:p>
            <w:pPr>
              <w:spacing w:after="0"/>
              <w:jc w:val="right"/>
            </w:pPr>
            <w:r>
              <w:t>3</w:t>
            </w:r>
          </w:p>
        </w:tc>
        <w:tc>
          <w:tcPr>
            <w:tcW w:type="dxa" w:w="2466"/>
          </w:tcPr>
          <w:p>
            <w:pPr>
              <w:spacing w:after="0"/>
            </w:pPr>
            <w:r>
              <w:t>Légumineuses</w:t>
            </w:r>
          </w:p>
        </w:tc>
        <w:tc>
          <w:tcPr>
            <w:tcW w:type="dxa" w:w="2466"/>
          </w:tcPr>
          <w:p>
            <w:pPr>
              <w:spacing w:after="0"/>
            </w:pPr>
            <w:r>
              <w:t>Grains secs triés et calibrés</w:t>
            </w:r>
          </w:p>
        </w:tc>
        <w:tc>
          <w:tcPr>
            <w:tcW w:type="dxa" w:w="2466"/>
          </w:tcPr>
          <w:p>
            <w:pPr>
              <w:spacing w:after="0"/>
            </w:pPr>
            <w:r>
              <w:t>Ankatsakantsa Sud, Station, Ambahikily, Tanandava</w:t>
            </w:r>
          </w:p>
        </w:tc>
      </w:tr>
      <w:tr>
        <w:trPr>
          <w:cantSplit/>
        </w:trPr>
        <w:tc>
          <w:tcPr>
            <w:tcW w:type="dxa" w:w="2466"/>
            <w:shd w:val="clear" w:color="auto" w:fill="F0FDF4"/>
          </w:tcPr>
          <w:p>
            <w:pPr>
              <w:spacing w:after="0"/>
              <w:jc w:val="right"/>
            </w:pPr>
            <w:r>
              <w:t>4</w:t>
            </w:r>
          </w:p>
        </w:tc>
        <w:tc>
          <w:tcPr>
            <w:tcW w:type="dxa" w:w="2466"/>
            <w:shd w:val="clear" w:color="auto" w:fill="F0FDF4"/>
          </w:tcPr>
          <w:p>
            <w:pPr>
              <w:spacing w:after="0"/>
            </w:pPr>
            <w:r>
              <w:t>Fruits</w:t>
            </w:r>
          </w:p>
        </w:tc>
        <w:tc>
          <w:tcPr>
            <w:tcW w:type="dxa" w:w="2466"/>
            <w:shd w:val="clear" w:color="auto" w:fill="F0FDF4"/>
          </w:tcPr>
          <w:p>
            <w:pPr>
              <w:spacing w:after="0"/>
            </w:pPr>
            <w:r>
              <w:t>Fruits frais, fruits secs, fruits confits, confitures, sirop de fruits</w:t>
            </w:r>
          </w:p>
        </w:tc>
        <w:tc>
          <w:tcPr>
            <w:tcW w:type="dxa" w:w="2466"/>
            <w:shd w:val="clear" w:color="auto" w:fill="F0FDF4"/>
          </w:tcPr>
          <w:p>
            <w:pPr>
              <w:spacing w:after="0"/>
            </w:pPr>
            <w:r>
              <w:t>Ankatsakantsa Sud, Antongo Vaovao</w:t>
            </w:r>
          </w:p>
        </w:tc>
      </w:tr>
      <w:tr>
        <w:trPr>
          <w:cantSplit/>
        </w:trPr>
        <w:tc>
          <w:tcPr>
            <w:tcW w:type="dxa" w:w="2466"/>
          </w:tcPr>
          <w:p>
            <w:pPr>
              <w:spacing w:after="0"/>
              <w:jc w:val="right"/>
            </w:pPr>
            <w:r>
              <w:t>5</w:t>
            </w:r>
          </w:p>
        </w:tc>
        <w:tc>
          <w:tcPr>
            <w:tcW w:type="dxa" w:w="2466"/>
          </w:tcPr>
          <w:p>
            <w:pPr>
              <w:spacing w:after="0"/>
            </w:pPr>
            <w:r>
              <w:t>Produits halieutiques</w:t>
            </w:r>
          </w:p>
        </w:tc>
        <w:tc>
          <w:tcPr>
            <w:tcW w:type="dxa" w:w="2466"/>
          </w:tcPr>
          <w:p>
            <w:pPr>
              <w:spacing w:after="0"/>
            </w:pPr>
            <w:r>
              <w:t>Poissons frais, poissons séchés, poissons fumés</w:t>
            </w:r>
          </w:p>
        </w:tc>
        <w:tc>
          <w:tcPr>
            <w:tcW w:type="dxa" w:w="2466"/>
          </w:tcPr>
          <w:p>
            <w:pPr>
              <w:spacing w:after="0"/>
            </w:pPr>
            <w:r>
              <w:t>Ankatsakantsa Sud, Station, Ambahikily, Antongo Vaovao, Tanandava</w:t>
            </w:r>
          </w:p>
        </w:tc>
      </w:tr>
      <w:tr>
        <w:trPr>
          <w:cantSplit/>
        </w:trPr>
        <w:tc>
          <w:tcPr>
            <w:tcW w:type="dxa" w:w="2466"/>
            <w:shd w:val="clear" w:color="auto" w:fill="F0FDF4"/>
          </w:tcPr>
          <w:p>
            <w:pPr>
              <w:spacing w:after="0"/>
              <w:jc w:val="right"/>
            </w:pPr>
            <w:r>
              <w:t>6</w:t>
            </w:r>
          </w:p>
        </w:tc>
        <w:tc>
          <w:tcPr>
            <w:tcW w:type="dxa" w:w="2466"/>
            <w:shd w:val="clear" w:color="auto" w:fill="F0FDF4"/>
          </w:tcPr>
          <w:p>
            <w:pPr>
              <w:spacing w:after="0"/>
            </w:pPr>
            <w:r>
              <w:t>Petits ruminants</w:t>
            </w:r>
          </w:p>
        </w:tc>
        <w:tc>
          <w:tcPr>
            <w:tcW w:type="dxa" w:w="2466"/>
            <w:shd w:val="clear" w:color="auto" w:fill="F0FDF4"/>
          </w:tcPr>
          <w:p>
            <w:pPr>
              <w:spacing w:after="0"/>
            </w:pPr>
            <w:r>
              <w:t>Fromage de chèvre, poudre de lait de chèvre, savon à base de lait de chèvre</w:t>
            </w:r>
          </w:p>
        </w:tc>
        <w:tc>
          <w:tcPr>
            <w:tcW w:type="dxa" w:w="2466"/>
            <w:shd w:val="clear" w:color="auto" w:fill="F0FDF4"/>
          </w:tcPr>
          <w:p>
            <w:pPr>
              <w:spacing w:after="0"/>
            </w:pPr>
            <w:r>
              <w:t>Ankatsakantsa Sud</w:t>
            </w:r>
          </w:p>
        </w:tc>
      </w:tr>
      <w:tr>
        <w:trPr>
          <w:cantSplit/>
        </w:trPr>
        <w:tc>
          <w:tcPr>
            <w:tcW w:type="dxa" w:w="2466"/>
          </w:tcPr>
          <w:p>
            <w:pPr>
              <w:spacing w:after="0"/>
              <w:jc w:val="right"/>
            </w:pPr>
            <w:r>
              <w:t>7</w:t>
            </w:r>
          </w:p>
        </w:tc>
        <w:tc>
          <w:tcPr>
            <w:tcW w:type="dxa" w:w="2466"/>
          </w:tcPr>
          <w:p>
            <w:pPr>
              <w:spacing w:after="0"/>
            </w:pPr>
            <w:r>
              <w:t>Tubercules</w:t>
            </w:r>
          </w:p>
        </w:tc>
        <w:tc>
          <w:tcPr>
            <w:tcW w:type="dxa" w:w="2466"/>
          </w:tcPr>
          <w:p>
            <w:pPr>
              <w:spacing w:after="0"/>
            </w:pPr>
            <w:r>
              <w:t>Cossettes de patates douces, farine de patate douce</w:t>
            </w:r>
          </w:p>
        </w:tc>
        <w:tc>
          <w:tcPr>
            <w:tcW w:type="dxa" w:w="2466"/>
          </w:tcPr>
          <w:p>
            <w:pPr>
              <w:spacing w:after="0"/>
            </w:pPr>
            <w:r>
              <w:t>Antongo Vaovao</w:t>
            </w:r>
          </w:p>
        </w:tc>
      </w:tr>
      <w:tr>
        <w:trPr>
          <w:cantSplit/>
        </w:trPr>
        <w:tc>
          <w:tcPr>
            <w:tcW w:type="dxa" w:w="2466"/>
            <w:shd w:val="clear" w:color="auto" w:fill="F0FDF4"/>
          </w:tcPr>
          <w:p>
            <w:pPr>
              <w:spacing w:after="0"/>
              <w:jc w:val="right"/>
            </w:pPr>
            <w:r>
              <w:t>8</w:t>
            </w:r>
          </w:p>
        </w:tc>
        <w:tc>
          <w:tcPr>
            <w:tcW w:type="dxa" w:w="2466"/>
            <w:shd w:val="clear" w:color="auto" w:fill="F0FDF4"/>
          </w:tcPr>
          <w:p>
            <w:pPr>
              <w:spacing w:after="0"/>
            </w:pPr>
            <w:r>
              <w:t>Vannerie</w:t>
            </w:r>
          </w:p>
        </w:tc>
        <w:tc>
          <w:tcPr>
            <w:tcW w:type="dxa" w:w="2466"/>
            <w:shd w:val="clear" w:color="auto" w:fill="F0FDF4"/>
          </w:tcPr>
          <w:p>
            <w:pPr>
              <w:spacing w:after="0"/>
            </w:pPr>
            <w:r>
              <w:t>Articles décoratifs, paniers, nattes à base de fibre végétale</w:t>
            </w:r>
          </w:p>
        </w:tc>
        <w:tc>
          <w:tcPr>
            <w:tcW w:type="dxa" w:w="2466"/>
            <w:shd w:val="clear" w:color="auto" w:fill="F0FDF4"/>
          </w:tcPr>
          <w:p>
            <w:pPr>
              <w:spacing w:after="0"/>
            </w:pPr>
            <w:r>
              <w:t>Ankatsakantsa Sud, Antongo Vaovao</w:t>
            </w:r>
          </w:p>
        </w:tc>
      </w:tr>
    </w:tbl>
    <w:p>
      <w:pPr>
        <w:spacing w:before="0" w:after="0" w:line="120" w:lineRule="exact"/>
      </w:pPr>
    </w:p>
    <w:p>
      <w:pPr>
        <w:pStyle w:val="Heading2"/>
      </w:pPr>
      <w:r>
        <w:t>2.3 Enjeux, contraintes et exigences du lot</w:t>
      </w:r>
    </w:p>
    <w:p>
      <w:r>
        <w:t>La proposition retient les exigences structurantes suivantes, telles qu'elles figurent dans les termes de référence :</w:t>
      </w:r>
    </w:p>
    <w:p>
      <w:pPr>
        <w:pStyle w:val="ListBullet"/>
      </w:pPr>
      <w:r>
        <w:rPr>
          <w:b/>
          <w:color w:val="14532D"/>
        </w:rPr>
        <w:t>Approche « entreprises vertes »</w:t>
      </w:r>
      <w:r>
        <w:t xml:space="preserve"> : les incubés doivent développer des entreprises viables ayant des impacts positifs sur les ressources naturelles, en cohérence avec la restauration des paysages et des forêts.</w:t>
      </w:r>
    </w:p>
    <w:p>
      <w:pPr>
        <w:pStyle w:val="ListBullet"/>
      </w:pPr>
      <w:r>
        <w:rPr>
          <w:b/>
          <w:color w:val="14532D"/>
        </w:rPr>
        <w:t>Ancrage local et déploiement</w:t>
      </w:r>
      <w:r>
        <w:t xml:space="preserve"> : le prestataire doit être localisé dans les régions d'intervention (Atsimo Andrefana et Haute Matsiatra) et démontrer sa capacité à se déployer rapidement dans les zones ciblées ; la présence d'un ancrage institutionnel à Madagascar est requise.</w:t>
      </w:r>
    </w:p>
    <w:p>
      <w:pPr>
        <w:pStyle w:val="ListBullet"/>
      </w:pPr>
      <w:r>
        <w:rPr>
          <w:b/>
          <w:color w:val="14532D"/>
        </w:rPr>
        <w:t>Standard d'incubation</w:t>
      </w:r>
      <w:r>
        <w:t xml:space="preserve"> : expérience des programmes d'incubation selon le standard GERME (Gérer au Mieux son Entreprise) et Thinkcoop.</w:t>
      </w:r>
    </w:p>
    <w:p>
      <w:pPr>
        <w:pStyle w:val="ListBullet"/>
      </w:pPr>
      <w:r>
        <w:rPr>
          <w:b/>
          <w:color w:val="14532D"/>
        </w:rPr>
        <w:t>Maîtrise des langues et des dialectes</w:t>
      </w:r>
      <w:r>
        <w:t xml:space="preserve"> : maîtrise du français, bonne connaissance de l'anglais, et maîtrise du dialecte local (Masikoro, Vezo pour Atsimo Andrefana) pour les formateurs.</w:t>
      </w:r>
    </w:p>
    <w:p>
      <w:pPr>
        <w:pStyle w:val="ListBullet"/>
      </w:pPr>
      <w:r>
        <w:rPr>
          <w:b/>
          <w:color w:val="14532D"/>
        </w:rPr>
        <w:t>Inclusion</w:t>
      </w:r>
      <w:r>
        <w:t xml:space="preserve"> : organisations cibles comptant au moins 25 membres, dont environ 50 % de femmes.</w:t>
      </w:r>
    </w:p>
    <w:p>
      <w:pPr>
        <w:pStyle w:val="ListBullet"/>
      </w:pPr>
      <w:r>
        <w:rPr>
          <w:b/>
          <w:color w:val="14532D"/>
        </w:rPr>
        <w:t>Coordination</w:t>
      </w:r>
      <w:r>
        <w:t xml:space="preserve"> : travail sous la supervision du Coordonnateur de projet RPF et Biodiversité (FAO), en collaboration avec l'UGP TEFIALA, les comités guichet régionaux, les points focaux MEDD et MINAE, et intervention également à Antananarivo, Tuléar et Fianarantsoa.</w:t>
      </w:r>
    </w:p>
    <w:p>
      <w:pPr>
        <w:pStyle w:val="ListBullet"/>
      </w:pPr>
      <w:r>
        <w:rPr>
          <w:b/>
          <w:color w:val="14532D"/>
        </w:rPr>
        <w:t>Conformité</w:t>
      </w:r>
      <w:r>
        <w:t xml:space="preserve"> : acceptation écrite des conditions applicables aux Protocoles d'Accord de la FAO (Annexe I du TDR), entité légalement constituée à but non lucratif, compte bancaire auprès d'une banque reconnue à Madagascar, capacité financière à préfinancer jusqu'à 20 % de la proposition.</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16A34A"/>
              <w:bottom w:val="nil"/>
              <w:right w:val="nil"/>
            </w:tcBorders>
            <w:shd w:val="clear" w:color="auto" w:fill="ECFDF5"/>
          </w:tcPr>
          <w:p>
            <w:pPr>
              <w:spacing w:after="0"/>
            </w:pPr>
            <w:r>
              <w:rPr>
                <w:b/>
                <w:color w:val="14532D"/>
              </w:rPr>
              <w:t>Point de vigilance : date de clôture.</w:t>
            </w:r>
            <w:r>
              <w:t xml:space="preserve"> Le terme de référence indique une remise des propositions « au plus tard le 2 avril 2026 à 12 h 00 (heure de Madagascar) ». La fiche de l'appel enregistrée dans le système porte une date limite au 31 octobre 2026. La date à retenir doit être confirmée auprès de la FAO avant soumission.</w:t>
            </w:r>
          </w:p>
        </w:tc>
      </w:tr>
    </w:tbl>
    <w:p>
      <w:pPr>
        <w:spacing w:before="0" w:after="0" w:line="120" w:lineRule="exact"/>
      </w:pPr>
    </w:p>
    <w:p>
      <w:pPr>
        <w:pStyle w:val="Heading1"/>
      </w:pPr>
      <w:r>
        <w:t>3. Objectifs et résultats attendus</w:t>
      </w:r>
    </w:p>
    <w:p>
      <w:pPr>
        <w:pStyle w:val="Heading2"/>
      </w:pPr>
      <w:r>
        <w:t>3.1 Objectif global et objectifs spécifiques</w:t>
      </w:r>
    </w:p>
    <w:p>
      <w:r>
        <w:t>Le mandat a pour objectif global d'organiser et de mettre en œuvre les programmes d'incubation d'entreprise des organisations de producteurs (OP) et de leurs membres, afin qu'ils deviennent des acteurs engagés dans le développement des chaînes de valeurs cibles des paysages d'intervention.</w:t>
      </w:r>
    </w:p>
    <w:p>
      <w:r>
        <w:t>De manière spécifique, il s'agit de :</w:t>
      </w:r>
    </w:p>
    <w:p>
      <w:pPr>
        <w:pStyle w:val="ListBullet"/>
      </w:pPr>
      <w:r>
        <w:t>Participer à l'affinage des critères de sélection des OP ciblées par les programmes d'incubation ;</w:t>
      </w:r>
    </w:p>
    <w:p>
      <w:pPr>
        <w:pStyle w:val="ListBullet"/>
      </w:pPr>
      <w:r>
        <w:t>Réaliser le ciblage des bénéficiaires sur la base de critères d'analyse de profil ;</w:t>
      </w:r>
    </w:p>
    <w:p>
      <w:pPr>
        <w:pStyle w:val="ListBullet"/>
      </w:pPr>
      <w:r>
        <w:t>Capitaliser et développer les modules de formation adaptés au programme d'incubation ;</w:t>
      </w:r>
    </w:p>
    <w:p>
      <w:pPr>
        <w:pStyle w:val="ListBullet"/>
      </w:pPr>
      <w:r>
        <w:t>Participer à l'élaboration des messages clés pour renforcer la capacité des OP à devenir des acteurs des chaînes de valeurs vertes ;</w:t>
      </w:r>
    </w:p>
    <w:p>
      <w:pPr>
        <w:pStyle w:val="ListBullet"/>
      </w:pPr>
      <w:r>
        <w:t>Réaliser les sessions de formation entrepreneuriales des incubés ;</w:t>
      </w:r>
    </w:p>
    <w:p>
      <w:pPr>
        <w:pStyle w:val="ListBullet"/>
      </w:pPr>
      <w:r>
        <w:t>Accompagner les incubés dans la mise en relation avec le marché et l'accès au financement ;</w:t>
      </w:r>
    </w:p>
    <w:p>
      <w:pPr>
        <w:pStyle w:val="ListBullet"/>
      </w:pPr>
      <w:r>
        <w:t>Organiser la mise en réseau des OP incubées avec des mentors.</w:t>
      </w:r>
    </w:p>
    <w:p>
      <w:pPr>
        <w:pStyle w:val="Heading2"/>
      </w:pPr>
      <w:r>
        <w:t>3.2 Résultats attendus pour le Lot 2</w:t>
      </w:r>
    </w:p>
    <w:p>
      <w:r>
        <w:t>Les résultats sont repris du mandat global puis ventilés sur le Lot 2 (Paysage Bas Mangoky).</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4532D"/>
          </w:tcPr>
          <w:p>
            <w:pPr>
              <w:spacing w:after="0"/>
            </w:pPr>
            <w:r>
              <w:rPr>
                <w:b/>
                <w:color w:val="FFFFFF"/>
              </w:rPr>
              <w:t>Résultat du mandat</w:t>
            </w:r>
          </w:p>
        </w:tc>
        <w:tc>
          <w:tcPr>
            <w:tcW w:type="dxa" w:w="3289"/>
            <w:shd w:val="clear" w:color="auto" w:fill="14532D"/>
          </w:tcPr>
          <w:p>
            <w:pPr>
              <w:spacing w:after="0"/>
              <w:jc w:val="right"/>
            </w:pPr>
            <w:r>
              <w:rPr>
                <w:b/>
                <w:color w:val="FFFFFF"/>
              </w:rPr>
              <w:t>Cible globale (3 paysages)</w:t>
            </w:r>
          </w:p>
        </w:tc>
        <w:tc>
          <w:tcPr>
            <w:tcW w:type="dxa" w:w="3289"/>
            <w:shd w:val="clear" w:color="auto" w:fill="14532D"/>
          </w:tcPr>
          <w:p>
            <w:pPr>
              <w:spacing w:after="0"/>
              <w:jc w:val="right"/>
            </w:pPr>
            <w:r>
              <w:rPr>
                <w:b/>
                <w:color w:val="FFFFFF"/>
              </w:rPr>
              <w:t>Cible Lot 2 (PBM)</w:t>
            </w:r>
          </w:p>
        </w:tc>
      </w:tr>
      <w:tr>
        <w:trPr>
          <w:cantSplit/>
        </w:trPr>
        <w:tc>
          <w:tcPr>
            <w:tcW w:type="dxa" w:w="3289"/>
          </w:tcPr>
          <w:p>
            <w:pPr>
              <w:spacing w:after="0"/>
            </w:pPr>
            <w:r>
              <w:t>Programmes d'incubation conçus, harmonisés et mis en œuvre</w:t>
            </w:r>
          </w:p>
        </w:tc>
        <w:tc>
          <w:tcPr>
            <w:tcW w:type="dxa" w:w="3289"/>
          </w:tcPr>
          <w:p>
            <w:pPr>
              <w:spacing w:after="0"/>
              <w:jc w:val="right"/>
            </w:pPr>
            <w:r>
              <w:t>4</w:t>
            </w:r>
          </w:p>
        </w:tc>
        <w:tc>
          <w:tcPr>
            <w:tcW w:type="dxa" w:w="3289"/>
          </w:tcPr>
          <w:p>
            <w:pPr>
              <w:spacing w:after="0"/>
              <w:jc w:val="right"/>
            </w:pPr>
            <w:r>
              <w:t>1</w:t>
            </w:r>
          </w:p>
        </w:tc>
      </w:tr>
      <w:tr>
        <w:trPr>
          <w:cantSplit/>
        </w:trPr>
        <w:tc>
          <w:tcPr>
            <w:tcW w:type="dxa" w:w="3289"/>
            <w:shd w:val="clear" w:color="auto" w:fill="F0FDF4"/>
          </w:tcPr>
          <w:p>
            <w:pPr>
              <w:spacing w:after="0"/>
            </w:pPr>
            <w:r>
              <w:t>Membres d'OP incubés, bénéficiant d'un parcours structuré</w:t>
            </w:r>
          </w:p>
        </w:tc>
        <w:tc>
          <w:tcPr>
            <w:tcW w:type="dxa" w:w="3289"/>
            <w:shd w:val="clear" w:color="auto" w:fill="F0FDF4"/>
          </w:tcPr>
          <w:p>
            <w:pPr>
              <w:spacing w:after="0"/>
              <w:jc w:val="right"/>
            </w:pPr>
            <w:r>
              <w:t>154</w:t>
            </w:r>
          </w:p>
        </w:tc>
        <w:tc>
          <w:tcPr>
            <w:tcW w:type="dxa" w:w="3289"/>
            <w:shd w:val="clear" w:color="auto" w:fill="F0FDF4"/>
          </w:tcPr>
          <w:p>
            <w:pPr>
              <w:spacing w:after="0"/>
              <w:jc w:val="right"/>
            </w:pPr>
            <w:r>
              <w:t>32</w:t>
            </w:r>
          </w:p>
        </w:tc>
      </w:tr>
      <w:tr>
        <w:trPr>
          <w:cantSplit/>
        </w:trPr>
        <w:tc>
          <w:tcPr>
            <w:tcW w:type="dxa" w:w="3289"/>
          </w:tcPr>
          <w:p>
            <w:pPr>
              <w:spacing w:after="0"/>
            </w:pPr>
            <w:r>
              <w:t>OP incubées mises en relation avec des mentors et acteurs économiques</w:t>
            </w:r>
          </w:p>
        </w:tc>
        <w:tc>
          <w:tcPr>
            <w:tcW w:type="dxa" w:w="3289"/>
          </w:tcPr>
          <w:p>
            <w:pPr>
              <w:spacing w:after="0"/>
              <w:jc w:val="right"/>
            </w:pPr>
            <w:r>
              <w:t>10</w:t>
            </w:r>
          </w:p>
        </w:tc>
        <w:tc>
          <w:tcPr>
            <w:tcW w:type="dxa" w:w="3289"/>
          </w:tcPr>
          <w:p>
            <w:pPr>
              <w:spacing w:after="0"/>
              <w:jc w:val="right"/>
            </w:pPr>
            <w:r>
              <w:t>4</w:t>
            </w:r>
          </w:p>
        </w:tc>
      </w:tr>
      <w:tr>
        <w:trPr>
          <w:cantSplit/>
        </w:trPr>
        <w:tc>
          <w:tcPr>
            <w:tcW w:type="dxa" w:w="3289"/>
            <w:shd w:val="clear" w:color="auto" w:fill="F0FDF4"/>
          </w:tcPr>
          <w:p>
            <w:pPr>
              <w:spacing w:after="0"/>
            </w:pPr>
            <w:r>
              <w:t>OP bénéficiant indirectement des compétences acquises par leurs membres incubés</w:t>
            </w:r>
          </w:p>
        </w:tc>
        <w:tc>
          <w:tcPr>
            <w:tcW w:type="dxa" w:w="3289"/>
            <w:shd w:val="clear" w:color="auto" w:fill="F0FDF4"/>
          </w:tcPr>
          <w:p>
            <w:pPr>
              <w:spacing w:after="0"/>
              <w:jc w:val="right"/>
            </w:pPr>
            <w:r>
              <w:t>62</w:t>
            </w:r>
          </w:p>
        </w:tc>
        <w:tc>
          <w:tcPr>
            <w:tcW w:type="dxa" w:w="3289"/>
            <w:shd w:val="clear" w:color="auto" w:fill="F0FDF4"/>
          </w:tcPr>
          <w:p>
            <w:pPr>
              <w:spacing w:after="0"/>
              <w:jc w:val="right"/>
            </w:pPr>
            <w:r>
              <w:t>32</w:t>
            </w:r>
          </w:p>
        </w:tc>
      </w:tr>
      <w:tr>
        <w:trPr>
          <w:cantSplit/>
        </w:trPr>
        <w:tc>
          <w:tcPr>
            <w:tcW w:type="dxa" w:w="3289"/>
          </w:tcPr>
          <w:p>
            <w:pPr>
              <w:spacing w:after="0"/>
            </w:pPr>
            <w:r>
              <w:t>Membres d'OP bénéficiant indirectement des appuis</w:t>
            </w:r>
          </w:p>
        </w:tc>
        <w:tc>
          <w:tcPr>
            <w:tcW w:type="dxa" w:w="3289"/>
          </w:tcPr>
          <w:p>
            <w:pPr>
              <w:spacing w:after="0"/>
              <w:jc w:val="right"/>
            </w:pPr>
            <w:r>
              <w:t>1 550</w:t>
            </w:r>
          </w:p>
        </w:tc>
        <w:tc>
          <w:tcPr>
            <w:tcW w:type="dxa" w:w="3289"/>
          </w:tcPr>
          <w:p>
            <w:pPr>
              <w:spacing w:after="0"/>
              <w:jc w:val="right"/>
            </w:pPr>
            <w:r>
              <w:t>800</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059669"/>
              <w:bottom w:val="nil"/>
              <w:right w:val="nil"/>
            </w:tcBorders>
            <w:shd w:val="clear" w:color="auto" w:fill="ECFDF5"/>
          </w:tcPr>
          <w:p>
            <w:pPr>
              <w:spacing w:after="0"/>
            </w:pPr>
            <w:r>
              <w:rPr>
                <w:b/>
                <w:color w:val="14532D"/>
              </w:rPr>
              <w:t>Effet attendu à moyen terme.</w:t>
            </w:r>
            <w:r>
              <w:t xml:space="preserve"> Les liens fonctionnels entre OP, mentors, centres d'incubation et acteurs de marché sont établis et opérationnels à la fin de la période d'incubation ; les OP appuyées améliorent progressivement leur performance économique, leur accès au marché et leur capacité à mobiliser des financements.</w:t>
            </w:r>
          </w:p>
        </w:tc>
      </w:tr>
    </w:tbl>
    <w:p>
      <w:pPr>
        <w:spacing w:before="0" w:after="0" w:line="120" w:lineRule="exact"/>
      </w:pPr>
    </w:p>
    <w:p>
      <w:pPr>
        <w:pStyle w:val="Heading1"/>
      </w:pPr>
      <w:r>
        <w:t>4. Méthodologie et dispositif d'intervention</w:t>
      </w:r>
    </w:p>
    <w:p>
      <w:r>
        <w:t>Le dispositif proposé suit le cycle de vie de l'incubation décrit par les termes de référence (sensibilisation et mobilisation, formation entrepreneuriale, coaching-mentoring, appui à la commercialisation et à la recherche de financement), organisé en quatre phases.</w:t>
      </w:r>
    </w:p>
    <w:p>
      <w:pPr>
        <w:pStyle w:val="Heading2"/>
      </w:pPr>
      <w:r>
        <w:t>4.1 Phase 1 : Cadrage, ciblage et mobilisation (Mois 1)</w:t>
      </w:r>
    </w:p>
    <w:p>
      <w:pPr>
        <w:pStyle w:val="ListBullet"/>
      </w:pPr>
      <w:r>
        <w:t>Affiner, avec l'UGP, les critères d'éligibilité au programme d'incubation et l'analyse de profil ;</w:t>
      </w:r>
    </w:p>
    <w:p>
      <w:pPr>
        <w:pStyle w:val="ListBullet"/>
      </w:pPr>
      <w:r>
        <w:t>Conduire les missions de sensibilisation et de mobilisation des entrepreneurs verts dans les communes d'Ambahikily et d'Antongo Vaovao ;</w:t>
      </w:r>
    </w:p>
    <w:p>
      <w:pPr>
        <w:pStyle w:val="ListBullet"/>
      </w:pPr>
      <w:r>
        <w:t>Mener un processus de sélection structuré et documenté pour retenir les incubés du lot ;</w:t>
      </w:r>
    </w:p>
    <w:p>
      <w:pPr>
        <w:pStyle w:val="ListBullet"/>
      </w:pPr>
      <w:r>
        <w:t>Produire le rapport initial (plan de travail détaillé, stratégie de mobilisation des parties prenantes, calendrier d'adaptation du programme, mécanismes de coordination) puis le premier rapport d'étape.</w:t>
      </w:r>
    </w:p>
    <w:p>
      <w:pPr>
        <w:pStyle w:val="Heading2"/>
      </w:pPr>
      <w:r>
        <w:t>4.2 Phase 2 : Formation entrepreneuriale (bootcamps)</w:t>
      </w:r>
    </w:p>
    <w:p>
      <w:pPr>
        <w:pStyle w:val="ListBullet"/>
      </w:pPr>
      <w:r>
        <w:t>Capitaliser et adapter les modules de formation au standard GERME et Thinkcoop ;</w:t>
      </w:r>
    </w:p>
    <w:p>
      <w:pPr>
        <w:pStyle w:val="ListBullet"/>
      </w:pPr>
      <w:r>
        <w:t>Délivrer les bootcamps sur les compétences organisationnelles et les compétences entrepreneuriales ;</w:t>
      </w:r>
    </w:p>
    <w:p>
      <w:pPr>
        <w:pStyle w:val="ListBullet"/>
      </w:pPr>
      <w:r>
        <w:t>Privilégier des méthodes d'apprentissage interactives : études de cas, apprentissage entre pairs, exercices pratiques et missions commerciales réelles.</w:t>
      </w:r>
    </w:p>
    <w:p>
      <w:pPr>
        <w:pStyle w:val="Heading2"/>
      </w:pPr>
      <w:r>
        <w:t>4.3 Phase 3 : Accompagnement, coaching et mise en relation</w:t>
      </w:r>
    </w:p>
    <w:p>
      <w:pPr>
        <w:pStyle w:val="ListBullet"/>
      </w:pPr>
      <w:r>
        <w:t>Coaching final : diagnostic final, coaching sur le plan stratégique à un an, pitch final devant les bailleurs locaux, mise en réseau avec les partenaires et acteurs agricoles ;</w:t>
      </w:r>
    </w:p>
    <w:p>
      <w:pPr>
        <w:pStyle w:val="ListBullet"/>
      </w:pPr>
      <w:r>
        <w:t>Organiser la mise en réseau des OP incubées avec des mentors et des acteurs économiques pertinents ;</w:t>
      </w:r>
    </w:p>
    <w:p>
      <w:pPr>
        <w:pStyle w:val="ListBullet"/>
      </w:pPr>
      <w:r>
        <w:t>Accompagner les incubés vers le marché et l'accès au financement.</w:t>
      </w:r>
    </w:p>
    <w:p>
      <w:pPr>
        <w:pStyle w:val="Heading2"/>
      </w:pPr>
      <w:r>
        <w:t>4.4 Phase 4 : Suivi post-formation et capitalisation</w:t>
      </w:r>
    </w:p>
    <w:p>
      <w:pPr>
        <w:pStyle w:val="ListBullet"/>
      </w:pPr>
      <w:r>
        <w:t>Suivi de l'adoption des acquis (tenue du journal de compte, répartition des rôles, mise à jour des documents financiers) ;</w:t>
      </w:r>
    </w:p>
    <w:p>
      <w:pPr>
        <w:pStyle w:val="ListBullet"/>
      </w:pPr>
      <w:r>
        <w:t>Mentoring : partage d'histoires à succès, master class, mise en place d'une communauté de pratique ;</w:t>
      </w:r>
    </w:p>
    <w:p>
      <w:pPr>
        <w:pStyle w:val="ListBullet"/>
      </w:pPr>
      <w:r>
        <w:t>Documenter les réussites convaincantes des incubés : progrès, innovation et impacts sur la restauration des paysages et des forêts.</w:t>
      </w:r>
    </w:p>
    <w:p>
      <w:pPr>
        <w:pStyle w:val="Heading1"/>
      </w:pPr>
      <w:r>
        <w:t>5. Activités et déroulé</w:t>
      </w:r>
    </w:p>
    <w:p>
      <w:r>
        <w:t>Les activités confiées au prestataire par les termes de référence sont déclinées ci-après, avec leur contenu et leur durée indicative.</w:t>
      </w:r>
    </w:p>
    <w:p>
      <w:pPr>
        <w:pStyle w:val="Heading2"/>
      </w:pPr>
      <w:r>
        <w:t>5.1 Bootcamps de formation</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Thématique</w:t>
            </w:r>
          </w:p>
        </w:tc>
        <w:tc>
          <w:tcPr>
            <w:tcW w:type="dxa" w:w="2466"/>
            <w:shd w:val="clear" w:color="auto" w:fill="14532D"/>
          </w:tcPr>
          <w:p>
            <w:pPr>
              <w:spacing w:after="0"/>
            </w:pPr>
            <w:r>
              <w:rPr>
                <w:b/>
                <w:color w:val="FFFFFF"/>
              </w:rPr>
              <w:t>Objectif</w:t>
            </w:r>
          </w:p>
        </w:tc>
        <w:tc>
          <w:tcPr>
            <w:tcW w:type="dxa" w:w="2466"/>
            <w:shd w:val="clear" w:color="auto" w:fill="14532D"/>
          </w:tcPr>
          <w:p>
            <w:pPr>
              <w:spacing w:after="0"/>
            </w:pPr>
            <w:r>
              <w:rPr>
                <w:b/>
                <w:color w:val="FFFFFF"/>
              </w:rPr>
              <w:t>Contenu principal</w:t>
            </w:r>
          </w:p>
        </w:tc>
        <w:tc>
          <w:tcPr>
            <w:tcW w:type="dxa" w:w="2466"/>
            <w:shd w:val="clear" w:color="auto" w:fill="14532D"/>
          </w:tcPr>
          <w:p>
            <w:pPr>
              <w:spacing w:after="0"/>
              <w:jc w:val="right"/>
            </w:pPr>
            <w:r>
              <w:rPr>
                <w:b/>
                <w:color w:val="FFFFFF"/>
              </w:rPr>
              <w:t>Durée indicative</w:t>
            </w:r>
          </w:p>
        </w:tc>
      </w:tr>
      <w:tr>
        <w:trPr>
          <w:cantSplit/>
        </w:trPr>
        <w:tc>
          <w:tcPr>
            <w:tcW w:type="dxa" w:w="2466"/>
          </w:tcPr>
          <w:p>
            <w:pPr>
              <w:spacing w:after="0"/>
            </w:pPr>
            <w:r>
              <w:t>Gouvernance (Bootcamp 1)</w:t>
            </w:r>
          </w:p>
        </w:tc>
        <w:tc>
          <w:tcPr>
            <w:tcW w:type="dxa" w:w="2466"/>
          </w:tcPr>
          <w:p>
            <w:pPr>
              <w:spacing w:after="0"/>
            </w:pPr>
            <w:r>
              <w:t>Renforcer la structure organisationnelle, la gouvernance et la participation des membres</w:t>
            </w:r>
          </w:p>
        </w:tc>
        <w:tc>
          <w:tcPr>
            <w:tcW w:type="dxa" w:w="2466"/>
          </w:tcPr>
          <w:p>
            <w:pPr>
              <w:spacing w:after="0"/>
            </w:pPr>
            <w:r>
              <w:t>Fonctionnement d'une coopérative : rôles, organes, obligations ; droits et devoirs des membres ; mise à jour du règlement intérieur ; simulations de prise de décision collective</w:t>
            </w:r>
          </w:p>
        </w:tc>
        <w:tc>
          <w:tcPr>
            <w:tcW w:type="dxa" w:w="2466"/>
          </w:tcPr>
          <w:p>
            <w:pPr>
              <w:spacing w:after="0"/>
              <w:jc w:val="right"/>
            </w:pPr>
            <w:r>
              <w:t>3 jours</w:t>
            </w:r>
          </w:p>
        </w:tc>
      </w:tr>
      <w:tr>
        <w:trPr>
          <w:cantSplit/>
        </w:trPr>
        <w:tc>
          <w:tcPr>
            <w:tcW w:type="dxa" w:w="2466"/>
            <w:shd w:val="clear" w:color="auto" w:fill="F0FDF4"/>
          </w:tcPr>
          <w:p>
            <w:pPr>
              <w:spacing w:after="0"/>
            </w:pPr>
            <w:r>
              <w:t>Développer l'esprit entrepreneurial (Bootcamp 2)</w:t>
            </w:r>
          </w:p>
        </w:tc>
        <w:tc>
          <w:tcPr>
            <w:tcW w:type="dxa" w:w="2466"/>
            <w:shd w:val="clear" w:color="auto" w:fill="F0FDF4"/>
          </w:tcPr>
          <w:p>
            <w:pPr>
              <w:spacing w:after="0"/>
            </w:pPr>
            <w:r>
              <w:t>Rendre les OP et les ménages proactifs et capables de transformer des idées en opportunités viables</w:t>
            </w:r>
          </w:p>
        </w:tc>
        <w:tc>
          <w:tcPr>
            <w:tcW w:type="dxa" w:w="2466"/>
            <w:shd w:val="clear" w:color="auto" w:fill="F0FDF4"/>
          </w:tcPr>
          <w:p>
            <w:pPr>
              <w:spacing w:after="0"/>
            </w:pPr>
            <w:r>
              <w:t>Stimuler la créativité et l'innovation ; renforcer la confiance en soi et l'initiative personnelle ; promouvoir l'autonomie et la résilience</w:t>
            </w:r>
          </w:p>
        </w:tc>
        <w:tc>
          <w:tcPr>
            <w:tcW w:type="dxa" w:w="2466"/>
            <w:shd w:val="clear" w:color="auto" w:fill="F0FDF4"/>
          </w:tcPr>
          <w:p>
            <w:pPr>
              <w:spacing w:after="0"/>
              <w:jc w:val="right"/>
            </w:pPr>
            <w:r>
              <w:t>3 jours</w:t>
            </w:r>
          </w:p>
        </w:tc>
      </w:tr>
      <w:tr>
        <w:trPr>
          <w:cantSplit/>
        </w:trPr>
        <w:tc>
          <w:tcPr>
            <w:tcW w:type="dxa" w:w="2466"/>
          </w:tcPr>
          <w:p>
            <w:pPr>
              <w:spacing w:after="0"/>
            </w:pPr>
            <w:r>
              <w:t>Élaboration de plan d'affaires et gestion financière (Bootcamp 3)</w:t>
            </w:r>
          </w:p>
        </w:tc>
        <w:tc>
          <w:tcPr>
            <w:tcW w:type="dxa" w:w="2466"/>
          </w:tcPr>
          <w:p>
            <w:pPr>
              <w:spacing w:after="0"/>
            </w:pPr>
            <w:r>
              <w:t>Disposer d'un plan d'affaires complet et adapté ; tenir des comptes simples et fiables ; élaborer et suivre un budget</w:t>
            </w:r>
          </w:p>
        </w:tc>
        <w:tc>
          <w:tcPr>
            <w:tcW w:type="dxa" w:w="2466"/>
          </w:tcPr>
          <w:p>
            <w:pPr>
              <w:spacing w:after="0"/>
            </w:pPr>
            <w:r>
              <w:t>Utilité et rédaction du plan d'affaires ; analyse de l'environnement d'affaires ; plan marketing ; plan opérationnel ; comptabilité simplifiée ; planification financière ; épargne et investissement</w:t>
            </w:r>
          </w:p>
        </w:tc>
        <w:tc>
          <w:tcPr>
            <w:tcW w:type="dxa" w:w="2466"/>
          </w:tcPr>
          <w:p>
            <w:pPr>
              <w:spacing w:after="0"/>
              <w:jc w:val="right"/>
            </w:pPr>
            <w:r>
              <w:t>3 jours</w:t>
            </w:r>
          </w:p>
        </w:tc>
      </w:tr>
      <w:tr>
        <w:trPr>
          <w:cantSplit/>
        </w:trPr>
        <w:tc>
          <w:tcPr>
            <w:tcW w:type="dxa" w:w="2466"/>
            <w:shd w:val="clear" w:color="auto" w:fill="F0FDF4"/>
          </w:tcPr>
          <w:p>
            <w:pPr>
              <w:spacing w:after="0"/>
            </w:pPr>
            <w:r>
              <w:t>Marketing et commercialisation (Bootcamp 4)</w:t>
            </w:r>
          </w:p>
        </w:tc>
        <w:tc>
          <w:tcPr>
            <w:tcW w:type="dxa" w:w="2466"/>
            <w:shd w:val="clear" w:color="auto" w:fill="F0FDF4"/>
          </w:tcPr>
          <w:p>
            <w:pPr>
              <w:spacing w:after="0"/>
            </w:pPr>
            <w:r>
              <w:t>Choisir le marché à cibler et mettre en place des stratégies de vente</w:t>
            </w:r>
          </w:p>
        </w:tc>
        <w:tc>
          <w:tcPr>
            <w:tcW w:type="dxa" w:w="2466"/>
            <w:shd w:val="clear" w:color="auto" w:fill="F0FDF4"/>
          </w:tcPr>
          <w:p>
            <w:pPr>
              <w:spacing w:after="0"/>
            </w:pPr>
            <w:r>
              <w:t>Introduction au marketing ; analyse et cartographie des marchés locaux ; stratégies de vente groupée ; négociation et contractualisation ; labellisation et valorisation de la qualité ; plan marketing collectif</w:t>
            </w:r>
          </w:p>
        </w:tc>
        <w:tc>
          <w:tcPr>
            <w:tcW w:type="dxa" w:w="2466"/>
            <w:shd w:val="clear" w:color="auto" w:fill="F0FDF4"/>
          </w:tcPr>
          <w:p>
            <w:pPr>
              <w:spacing w:after="0"/>
              <w:jc w:val="right"/>
            </w:pPr>
            <w:r>
              <w:t>3 jours</w:t>
            </w:r>
          </w:p>
        </w:tc>
      </w:tr>
      <w:tr>
        <w:trPr>
          <w:cantSplit/>
        </w:trPr>
        <w:tc>
          <w:tcPr>
            <w:tcW w:type="dxa" w:w="2466"/>
          </w:tcPr>
          <w:p>
            <w:pPr>
              <w:spacing w:after="0"/>
            </w:pPr>
            <w:r>
              <w:t>Accès au financement (Bootcamp 5)</w:t>
            </w:r>
          </w:p>
        </w:tc>
        <w:tc>
          <w:tcPr>
            <w:tcW w:type="dxa" w:w="2466"/>
          </w:tcPr>
          <w:p>
            <w:pPr>
              <w:spacing w:after="0"/>
            </w:pPr>
            <w:r>
              <w:t>Comprendre les types de financement, convaincre et améliorer les chances d'obtenir et de bien utiliser le financement</w:t>
            </w:r>
          </w:p>
        </w:tc>
        <w:tc>
          <w:tcPr>
            <w:tcW w:type="dxa" w:w="2466"/>
          </w:tcPr>
          <w:p>
            <w:pPr>
              <w:spacing w:after="0"/>
            </w:pPr>
            <w:r>
              <w:t>Mécanismes financiers existants (IMF, banque, projet/programme, subvention, GVEC) et conditions d'accès ; préparation de la demande de financement ; négociation avec les financeurs ; stratégie d'épargne, gestion des risques et durabilité ; mobilisation de fonds propres</w:t>
            </w:r>
          </w:p>
        </w:tc>
        <w:tc>
          <w:tcPr>
            <w:tcW w:type="dxa" w:w="2466"/>
          </w:tcPr>
          <w:p>
            <w:pPr>
              <w:spacing w:after="0"/>
              <w:jc w:val="right"/>
            </w:pPr>
            <w:r>
              <w:t>3 jours</w:t>
            </w:r>
          </w:p>
        </w:tc>
      </w:tr>
    </w:tbl>
    <w:p>
      <w:pPr>
        <w:spacing w:before="0" w:after="0" w:line="120" w:lineRule="exact"/>
      </w:pPr>
    </w:p>
    <w:p>
      <w:r>
        <w:t>Les contenus prévus pour chaque thématique de bootcamp ne sont pas exhaustifs ; des modules ou contenus additionnels peuvent être proposés en fonction des expertises et expériences spécifiques du prestataire.</w:t>
      </w:r>
    </w:p>
    <w:p>
      <w:pPr>
        <w:pStyle w:val="Heading2"/>
      </w:pPr>
      <w:r>
        <w:t>5.2 Coaching, suivi et mentoring</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Thématique</w:t>
            </w:r>
          </w:p>
        </w:tc>
        <w:tc>
          <w:tcPr>
            <w:tcW w:type="dxa" w:w="2466"/>
            <w:shd w:val="clear" w:color="auto" w:fill="14532D"/>
          </w:tcPr>
          <w:p>
            <w:pPr>
              <w:spacing w:after="0"/>
            </w:pPr>
            <w:r>
              <w:rPr>
                <w:b/>
                <w:color w:val="FFFFFF"/>
              </w:rPr>
              <w:t>Objectif</w:t>
            </w:r>
          </w:p>
        </w:tc>
        <w:tc>
          <w:tcPr>
            <w:tcW w:type="dxa" w:w="2466"/>
            <w:shd w:val="clear" w:color="auto" w:fill="14532D"/>
          </w:tcPr>
          <w:p>
            <w:pPr>
              <w:spacing w:after="0"/>
            </w:pPr>
            <w:r>
              <w:rPr>
                <w:b/>
                <w:color w:val="FFFFFF"/>
              </w:rPr>
              <w:t>Contenu principal</w:t>
            </w:r>
          </w:p>
        </w:tc>
        <w:tc>
          <w:tcPr>
            <w:tcW w:type="dxa" w:w="2466"/>
            <w:shd w:val="clear" w:color="auto" w:fill="14532D"/>
          </w:tcPr>
          <w:p>
            <w:pPr>
              <w:spacing w:after="0"/>
              <w:jc w:val="right"/>
            </w:pPr>
            <w:r>
              <w:rPr>
                <w:b/>
                <w:color w:val="FFFFFF"/>
              </w:rPr>
              <w:t>Durée indicative</w:t>
            </w:r>
          </w:p>
        </w:tc>
      </w:tr>
      <w:tr>
        <w:trPr>
          <w:cantSplit/>
        </w:trPr>
        <w:tc>
          <w:tcPr>
            <w:tcW w:type="dxa" w:w="2466"/>
          </w:tcPr>
          <w:p>
            <w:pPr>
              <w:spacing w:after="0"/>
            </w:pPr>
            <w:r>
              <w:t>Coaching final</w:t>
            </w:r>
          </w:p>
        </w:tc>
        <w:tc>
          <w:tcPr>
            <w:tcW w:type="dxa" w:w="2466"/>
          </w:tcPr>
          <w:p>
            <w:pPr>
              <w:spacing w:after="0"/>
            </w:pPr>
            <w:r>
              <w:t>Consolider les acquis, préparer la pérennité et connecter la coopérative</w:t>
            </w:r>
          </w:p>
        </w:tc>
        <w:tc>
          <w:tcPr>
            <w:tcW w:type="dxa" w:w="2466"/>
          </w:tcPr>
          <w:p>
            <w:pPr>
              <w:spacing w:after="0"/>
            </w:pPr>
            <w:r>
              <w:t>Diagnostic final ; coaching sur le plan stratégique à un an ; pitch final devant les bailleurs locaux ; mise en réseau avec les partenaires et acteurs agricoles</w:t>
            </w:r>
          </w:p>
        </w:tc>
        <w:tc>
          <w:tcPr>
            <w:tcW w:type="dxa" w:w="2466"/>
          </w:tcPr>
          <w:p>
            <w:pPr>
              <w:spacing w:after="0"/>
              <w:jc w:val="right"/>
            </w:pPr>
            <w:r>
              <w:t>2 jours</w:t>
            </w:r>
          </w:p>
        </w:tc>
      </w:tr>
      <w:tr>
        <w:trPr>
          <w:cantSplit/>
        </w:trPr>
        <w:tc>
          <w:tcPr>
            <w:tcW w:type="dxa" w:w="2466"/>
            <w:shd w:val="clear" w:color="auto" w:fill="F0FDF4"/>
          </w:tcPr>
          <w:p>
            <w:pPr>
              <w:spacing w:after="0"/>
            </w:pPr>
            <w:r>
              <w:t>Suivi</w:t>
            </w:r>
          </w:p>
        </w:tc>
        <w:tc>
          <w:tcPr>
            <w:tcW w:type="dxa" w:w="2466"/>
            <w:shd w:val="clear" w:color="auto" w:fill="F0FDF4"/>
          </w:tcPr>
          <w:p>
            <w:pPr>
              <w:spacing w:after="0"/>
            </w:pPr>
            <w:r>
              <w:t>Évaluer l'adoption des acquis</w:t>
            </w:r>
          </w:p>
        </w:tc>
        <w:tc>
          <w:tcPr>
            <w:tcW w:type="dxa" w:w="2466"/>
            <w:shd w:val="clear" w:color="auto" w:fill="F0FDF4"/>
          </w:tcPr>
          <w:p>
            <w:pPr>
              <w:spacing w:after="0"/>
            </w:pPr>
            <w:r>
              <w:t>Tenue à jour du journal de compte ; répartition des rôles dans l'organisation ; mise à jour des documents financiers</w:t>
            </w:r>
          </w:p>
        </w:tc>
        <w:tc>
          <w:tcPr>
            <w:tcW w:type="dxa" w:w="2466"/>
            <w:shd w:val="clear" w:color="auto" w:fill="F0FDF4"/>
          </w:tcPr>
          <w:p>
            <w:pPr>
              <w:spacing w:after="0"/>
              <w:jc w:val="right"/>
            </w:pPr>
            <w:r>
              <w:t>8 jours</w:t>
            </w:r>
          </w:p>
        </w:tc>
      </w:tr>
      <w:tr>
        <w:trPr>
          <w:cantSplit/>
        </w:trPr>
        <w:tc>
          <w:tcPr>
            <w:tcW w:type="dxa" w:w="2466"/>
          </w:tcPr>
          <w:p>
            <w:pPr>
              <w:spacing w:after="0"/>
            </w:pPr>
            <w:r>
              <w:t>Mentoring</w:t>
            </w:r>
          </w:p>
        </w:tc>
        <w:tc>
          <w:tcPr>
            <w:tcW w:type="dxa" w:w="2466"/>
          </w:tcPr>
          <w:p>
            <w:pPr>
              <w:spacing w:after="0"/>
            </w:pPr>
            <w:r>
              <w:t>Partager des histoires à succès et des témoignages d'entrepreneurs modèles</w:t>
            </w:r>
          </w:p>
        </w:tc>
        <w:tc>
          <w:tcPr>
            <w:tcW w:type="dxa" w:w="2466"/>
          </w:tcPr>
          <w:p>
            <w:pPr>
              <w:spacing w:after="0"/>
            </w:pPr>
            <w:r>
              <w:t>Histoires de réussite ; master class sur les principaux obstacles et stratégies en entrepreneuriat ; communauté de pratique (plateforme ou groupe de partage d'expériences entre mentorés)</w:t>
            </w:r>
          </w:p>
        </w:tc>
        <w:tc>
          <w:tcPr>
            <w:tcW w:type="dxa" w:w="2466"/>
          </w:tcPr>
          <w:p>
            <w:pPr>
              <w:spacing w:after="0"/>
              <w:jc w:val="right"/>
            </w:pPr>
            <w:r>
              <w:t>10 jours</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16A34A"/>
              <w:bottom w:val="nil"/>
              <w:right w:val="nil"/>
            </w:tcBorders>
            <w:shd w:val="clear" w:color="auto" w:fill="ECFDF5"/>
          </w:tcPr>
          <w:p>
            <w:pPr>
              <w:spacing w:after="0"/>
            </w:pPr>
            <w:r>
              <w:rPr>
                <w:b/>
                <w:color w:val="14532D"/>
              </w:rPr>
              <w:t>Déploiement du mentoring.</w:t>
            </w:r>
            <w:r>
              <w:t xml:space="preserve"> Le mentoring est prévu pour une durée indicative de 10 jours : 2 jours sur site et 8 jours à distance, à raison de 2 séances de 2 heures par mois. Les cinq sessions de mentoring prévues par le jeu d'indicateurs du lot s'inscrivent dans ce dispositif. Après le programme, les incubés sont invités à poursuivre les sessions de mentoring sous la facilitation de la structure d'appui à l'entrepreneuriat.</w:t>
            </w:r>
          </w:p>
        </w:tc>
      </w:tr>
    </w:tbl>
    <w:p>
      <w:pPr>
        <w:spacing w:before="0" w:after="0" w:line="120" w:lineRule="exact"/>
      </w:pPr>
    </w:p>
    <w:p>
      <w:pPr>
        <w:pStyle w:val="Heading1"/>
      </w:pPr>
      <w:r>
        <w:t>6. Calendrier visuel et jalons</w:t>
      </w:r>
    </w:p>
    <w:p>
      <w:r>
        <w:t>Le programme d'incubation s'étale sur une période de dix (10) mois au maximum à compter de la date de signature du contrat, selon un plan de travail à établir avec la FAO. Les programmes d'incubation par lot se déroulent simultanément, afin de disposer d'une cohorte d'entreprises vertes prêtes à affronter le marché d'ici fin août 2026. La durée exacte est arrêtée lors de l'élaboration du contrat, selon le financement disponible, les activités et les saisons culturales à couvrir.</w:t>
      </w:r>
    </w:p>
    <w:p>
      <w:r>
        <w:t>Le calendrier visuel ci-dessous présente le déroulement des phases sur les dix mois du programme. Une cellule tramee (fond coloré) indique un mois d'activité de la phase ; la colonne « Jalon » rappelle le livrable attendu.</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1409"/>
        <w:gridCol w:w="1409"/>
        <w:gridCol w:w="1409"/>
        <w:gridCol w:w="1409"/>
        <w:gridCol w:w="1409"/>
        <w:gridCol w:w="1409"/>
        <w:gridCol w:w="1409"/>
      </w:tblGrid>
      <w:tr>
        <w:trPr>
          <w:cantSplit/>
          <w:tblHeader/>
        </w:trPr>
        <w:tc>
          <w:tcPr>
            <w:tcW w:type="dxa" w:w="1409"/>
            <w:shd w:val="clear" w:color="auto" w:fill="14532D"/>
          </w:tcPr>
          <w:p>
            <w:pPr>
              <w:spacing w:after="0"/>
            </w:pPr>
            <w:r>
              <w:rPr>
                <w:b/>
                <w:color w:val="FFFFFF"/>
              </w:rPr>
              <w:t>Phase / Activité</w:t>
            </w:r>
          </w:p>
        </w:tc>
        <w:tc>
          <w:tcPr>
            <w:tcW w:type="dxa" w:w="1409"/>
            <w:shd w:val="clear" w:color="auto" w:fill="14532D"/>
          </w:tcPr>
          <w:p>
            <w:pPr>
              <w:spacing w:after="0"/>
              <w:jc w:val="right"/>
            </w:pPr>
            <w:r>
              <w:rPr>
                <w:b/>
                <w:color w:val="FFFFFF"/>
              </w:rPr>
              <w:t>M1</w:t>
            </w:r>
          </w:p>
        </w:tc>
        <w:tc>
          <w:tcPr>
            <w:tcW w:type="dxa" w:w="1409"/>
            <w:shd w:val="clear" w:color="auto" w:fill="14532D"/>
          </w:tcPr>
          <w:p>
            <w:pPr>
              <w:spacing w:after="0"/>
              <w:jc w:val="right"/>
            </w:pPr>
            <w:r>
              <w:rPr>
                <w:b/>
                <w:color w:val="FFFFFF"/>
              </w:rPr>
              <w:t>M2</w:t>
            </w:r>
          </w:p>
        </w:tc>
        <w:tc>
          <w:tcPr>
            <w:tcW w:type="dxa" w:w="1409"/>
            <w:shd w:val="clear" w:color="auto" w:fill="14532D"/>
          </w:tcPr>
          <w:p>
            <w:pPr>
              <w:spacing w:after="0"/>
              <w:jc w:val="right"/>
            </w:pPr>
            <w:r>
              <w:rPr>
                <w:b/>
                <w:color w:val="FFFFFF"/>
              </w:rPr>
              <w:t>M3</w:t>
            </w:r>
          </w:p>
        </w:tc>
        <w:tc>
          <w:tcPr>
            <w:tcW w:type="dxa" w:w="1409"/>
            <w:shd w:val="clear" w:color="auto" w:fill="14532D"/>
          </w:tcPr>
          <w:p>
            <w:pPr>
              <w:spacing w:after="0"/>
              <w:jc w:val="right"/>
            </w:pPr>
            <w:r>
              <w:rPr>
                <w:b/>
                <w:color w:val="FFFFFF"/>
              </w:rPr>
              <w:t>M4</w:t>
            </w:r>
          </w:p>
        </w:tc>
        <w:tc>
          <w:tcPr>
            <w:tcW w:type="dxa" w:w="1409"/>
            <w:shd w:val="clear" w:color="auto" w:fill="14532D"/>
          </w:tcPr>
          <w:p>
            <w:pPr>
              <w:spacing w:after="0"/>
              <w:jc w:val="right"/>
            </w:pPr>
            <w:r>
              <w:rPr>
                <w:b/>
                <w:color w:val="FFFFFF"/>
              </w:rPr>
              <w:t>M5</w:t>
            </w:r>
          </w:p>
        </w:tc>
        <w:tc>
          <w:tcPr>
            <w:tcW w:type="dxa" w:w="1409"/>
            <w:shd w:val="clear" w:color="auto" w:fill="14532D"/>
          </w:tcPr>
          <w:p>
            <w:pPr>
              <w:spacing w:after="0"/>
            </w:pPr>
            <w:r>
              <w:rPr>
                <w:b/>
                <w:color w:val="FFFFFF"/>
              </w:rPr>
              <w:t>Jalon</w:t>
            </w:r>
          </w:p>
        </w:tc>
      </w:tr>
      <w:tr>
        <w:trPr>
          <w:cantSplit/>
        </w:trPr>
        <w:tc>
          <w:tcPr>
            <w:tcW w:type="dxa" w:w="1409"/>
          </w:tcPr>
          <w:p>
            <w:pPr>
              <w:spacing w:after="0"/>
            </w:pPr>
            <w:r>
              <w:t>Phase 1 : Cadrage, ciblage et mobilisation</w:t>
            </w:r>
          </w:p>
        </w:tc>
        <w:tc>
          <w:tcPr>
            <w:tcW w:type="dxa" w:w="1409"/>
          </w:tcPr>
          <w:p>
            <w:pPr>
              <w:spacing w:after="0"/>
              <w:jc w:val="right"/>
            </w:pPr>
            <w:r>
              <w:t>■</w:t>
            </w:r>
          </w:p>
        </w:tc>
        <w:tc>
          <w:tcPr>
            <w:tcW w:type="dxa" w:w="1409"/>
          </w:tcPr>
          <w:p>
            <w:pPr>
              <w:spacing w:after="0"/>
              <w:jc w:val="right"/>
            </w:pPr>
          </w:p>
        </w:tc>
        <w:tc>
          <w:tcPr>
            <w:tcW w:type="dxa" w:w="1409"/>
          </w:tcPr>
          <w:p>
            <w:pPr>
              <w:spacing w:after="0"/>
              <w:jc w:val="right"/>
            </w:pPr>
          </w:p>
        </w:tc>
        <w:tc>
          <w:tcPr>
            <w:tcW w:type="dxa" w:w="1409"/>
          </w:tcPr>
          <w:p>
            <w:pPr>
              <w:spacing w:after="0"/>
              <w:jc w:val="right"/>
            </w:pPr>
          </w:p>
        </w:tc>
        <w:tc>
          <w:tcPr>
            <w:tcW w:type="dxa" w:w="1409"/>
          </w:tcPr>
          <w:p>
            <w:pPr>
              <w:spacing w:after="0"/>
              <w:jc w:val="right"/>
            </w:pPr>
          </w:p>
        </w:tc>
        <w:tc>
          <w:tcPr>
            <w:tcW w:type="dxa" w:w="1409"/>
          </w:tcPr>
          <w:p>
            <w:pPr>
              <w:spacing w:after="0"/>
            </w:pPr>
            <w:r>
              <w:t>Rapport initial (M1) ; premier rapport d'étape (fin M1)</w:t>
            </w:r>
          </w:p>
        </w:tc>
      </w:tr>
      <w:tr>
        <w:trPr>
          <w:cantSplit/>
        </w:trPr>
        <w:tc>
          <w:tcPr>
            <w:tcW w:type="dxa" w:w="1409"/>
            <w:shd w:val="clear" w:color="auto" w:fill="F0FDF4"/>
          </w:tcPr>
          <w:p>
            <w:pPr>
              <w:spacing w:after="0"/>
            </w:pPr>
            <w:r>
              <w:t>Bootcamp 1 : Gouvernance</w:t>
            </w:r>
          </w:p>
        </w:tc>
        <w:tc>
          <w:tcPr>
            <w:tcW w:type="dxa" w:w="1409"/>
            <w:shd w:val="clear" w:color="auto" w:fill="F0FDF4"/>
          </w:tcPr>
          <w:p>
            <w:pPr>
              <w:spacing w:after="0"/>
              <w:jc w:val="right"/>
            </w:pPr>
          </w:p>
        </w:tc>
        <w:tc>
          <w:tcPr>
            <w:tcW w:type="dxa" w:w="1409"/>
            <w:shd w:val="clear" w:color="auto" w:fill="F0FDF4"/>
          </w:tcPr>
          <w:p>
            <w:pPr>
              <w:spacing w:after="0"/>
              <w:jc w:val="right"/>
            </w:pPr>
            <w:r>
              <w:t>■</w:t>
            </w:r>
          </w:p>
        </w:tc>
        <w:tc>
          <w:tcPr>
            <w:tcW w:type="dxa" w:w="1409"/>
            <w:shd w:val="clear" w:color="auto" w:fill="F0FDF4"/>
          </w:tcPr>
          <w:p>
            <w:pPr>
              <w:spacing w:after="0"/>
              <w:jc w:val="right"/>
            </w:pPr>
            <w:r>
              <w:t>■</w:t>
            </w:r>
          </w:p>
        </w:tc>
        <w:tc>
          <w:tcPr>
            <w:tcW w:type="dxa" w:w="1409"/>
            <w:shd w:val="clear" w:color="auto" w:fill="F0FDF4"/>
          </w:tcPr>
          <w:p>
            <w:pPr>
              <w:spacing w:after="0"/>
              <w:jc w:val="right"/>
            </w:pPr>
          </w:p>
        </w:tc>
        <w:tc>
          <w:tcPr>
            <w:tcW w:type="dxa" w:w="1409"/>
            <w:shd w:val="clear" w:color="auto" w:fill="F0FDF4"/>
          </w:tcPr>
          <w:p>
            <w:pPr>
              <w:spacing w:after="0"/>
              <w:jc w:val="right"/>
            </w:pPr>
          </w:p>
        </w:tc>
        <w:tc>
          <w:tcPr>
            <w:tcW w:type="dxa" w:w="1409"/>
            <w:shd w:val="clear" w:color="auto" w:fill="F0FDF4"/>
          </w:tcPr>
          <w:p>
            <w:pPr>
              <w:spacing w:after="0"/>
            </w:pPr>
            <w:r>
              <w:t>Rapport de formation, fiches de présence</w:t>
            </w:r>
          </w:p>
        </w:tc>
      </w:tr>
      <w:tr>
        <w:trPr>
          <w:cantSplit/>
        </w:trPr>
        <w:tc>
          <w:tcPr>
            <w:tcW w:type="dxa" w:w="1409"/>
          </w:tcPr>
          <w:p>
            <w:pPr>
              <w:spacing w:after="0"/>
            </w:pPr>
            <w:r>
              <w:t>Bootcamp 2 : Esprit entrepreneurial</w:t>
            </w:r>
          </w:p>
        </w:tc>
        <w:tc>
          <w:tcPr>
            <w:tcW w:type="dxa" w:w="1409"/>
          </w:tcPr>
          <w:p>
            <w:pPr>
              <w:spacing w:after="0"/>
              <w:jc w:val="right"/>
            </w:pPr>
          </w:p>
        </w:tc>
        <w:tc>
          <w:tcPr>
            <w:tcW w:type="dxa" w:w="1409"/>
          </w:tcPr>
          <w:p>
            <w:pPr>
              <w:spacing w:after="0"/>
              <w:jc w:val="right"/>
            </w:pPr>
            <w:r>
              <w:t>■</w:t>
            </w:r>
          </w:p>
        </w:tc>
        <w:tc>
          <w:tcPr>
            <w:tcW w:type="dxa" w:w="1409"/>
          </w:tcPr>
          <w:p>
            <w:pPr>
              <w:spacing w:after="0"/>
              <w:jc w:val="right"/>
            </w:pPr>
            <w:r>
              <w:t>■</w:t>
            </w:r>
          </w:p>
        </w:tc>
        <w:tc>
          <w:tcPr>
            <w:tcW w:type="dxa" w:w="1409"/>
          </w:tcPr>
          <w:p>
            <w:pPr>
              <w:spacing w:after="0"/>
              <w:jc w:val="right"/>
            </w:pPr>
          </w:p>
        </w:tc>
        <w:tc>
          <w:tcPr>
            <w:tcW w:type="dxa" w:w="1409"/>
          </w:tcPr>
          <w:p>
            <w:pPr>
              <w:spacing w:after="0"/>
              <w:jc w:val="right"/>
            </w:pPr>
          </w:p>
        </w:tc>
        <w:tc>
          <w:tcPr>
            <w:tcW w:type="dxa" w:w="1409"/>
          </w:tcPr>
          <w:p>
            <w:pPr>
              <w:spacing w:after="0"/>
            </w:pPr>
            <w:r>
              <w:t>Business models, prototypage MVP</w:t>
            </w:r>
          </w:p>
        </w:tc>
      </w:tr>
      <w:tr>
        <w:trPr>
          <w:cantSplit/>
        </w:trPr>
        <w:tc>
          <w:tcPr>
            <w:tcW w:type="dxa" w:w="1409"/>
            <w:shd w:val="clear" w:color="auto" w:fill="F0FDF4"/>
          </w:tcPr>
          <w:p>
            <w:pPr>
              <w:spacing w:after="0"/>
            </w:pPr>
            <w:r>
              <w:t>Bootcamp 3 : Plan d'affaires et gestion financière</w:t>
            </w:r>
          </w:p>
        </w:tc>
        <w:tc>
          <w:tcPr>
            <w:tcW w:type="dxa" w:w="1409"/>
            <w:shd w:val="clear" w:color="auto" w:fill="F0FDF4"/>
          </w:tcPr>
          <w:p>
            <w:pPr>
              <w:spacing w:after="0"/>
              <w:jc w:val="right"/>
            </w:pPr>
          </w:p>
        </w:tc>
        <w:tc>
          <w:tcPr>
            <w:tcW w:type="dxa" w:w="1409"/>
            <w:shd w:val="clear" w:color="auto" w:fill="F0FDF4"/>
          </w:tcPr>
          <w:p>
            <w:pPr>
              <w:spacing w:after="0"/>
              <w:jc w:val="right"/>
            </w:pPr>
          </w:p>
        </w:tc>
        <w:tc>
          <w:tcPr>
            <w:tcW w:type="dxa" w:w="1409"/>
            <w:shd w:val="clear" w:color="auto" w:fill="F0FDF4"/>
          </w:tcPr>
          <w:p>
            <w:pPr>
              <w:spacing w:after="0"/>
              <w:jc w:val="right"/>
            </w:pPr>
            <w:r>
              <w:t>■</w:t>
            </w:r>
          </w:p>
        </w:tc>
        <w:tc>
          <w:tcPr>
            <w:tcW w:type="dxa" w:w="1409"/>
            <w:shd w:val="clear" w:color="auto" w:fill="F0FDF4"/>
          </w:tcPr>
          <w:p>
            <w:pPr>
              <w:spacing w:after="0"/>
              <w:jc w:val="right"/>
            </w:pPr>
            <w:r>
              <w:t>■</w:t>
            </w:r>
          </w:p>
        </w:tc>
        <w:tc>
          <w:tcPr>
            <w:tcW w:type="dxa" w:w="1409"/>
            <w:shd w:val="clear" w:color="auto" w:fill="F0FDF4"/>
          </w:tcPr>
          <w:p>
            <w:pPr>
              <w:spacing w:after="0"/>
              <w:jc w:val="right"/>
            </w:pPr>
            <w:r>
              <w:t>■</w:t>
            </w:r>
          </w:p>
        </w:tc>
        <w:tc>
          <w:tcPr>
            <w:tcW w:type="dxa" w:w="1409"/>
            <w:shd w:val="clear" w:color="auto" w:fill="F0FDF4"/>
          </w:tcPr>
          <w:p>
            <w:pPr>
              <w:spacing w:after="0"/>
            </w:pPr>
            <w:r>
              <w:t>Plans d'affaires, plans de production</w:t>
            </w:r>
          </w:p>
        </w:tc>
      </w:tr>
      <w:tr>
        <w:trPr>
          <w:cantSplit/>
        </w:trPr>
        <w:tc>
          <w:tcPr>
            <w:tcW w:type="dxa" w:w="1409"/>
          </w:tcPr>
          <w:p>
            <w:pPr>
              <w:spacing w:after="0"/>
            </w:pPr>
            <w:r>
              <w:t>Bootcamp 4 : Marketing et commercialisation</w:t>
            </w:r>
          </w:p>
        </w:tc>
        <w:tc>
          <w:tcPr>
            <w:tcW w:type="dxa" w:w="1409"/>
          </w:tcPr>
          <w:p>
            <w:pPr>
              <w:spacing w:after="0"/>
              <w:jc w:val="right"/>
            </w:pPr>
          </w:p>
        </w:tc>
        <w:tc>
          <w:tcPr>
            <w:tcW w:type="dxa" w:w="1409"/>
          </w:tcPr>
          <w:p>
            <w:pPr>
              <w:spacing w:after="0"/>
              <w:jc w:val="right"/>
            </w:pPr>
          </w:p>
        </w:tc>
        <w:tc>
          <w:tcPr>
            <w:tcW w:type="dxa" w:w="1409"/>
          </w:tcPr>
          <w:p>
            <w:pPr>
              <w:spacing w:after="0"/>
              <w:jc w:val="right"/>
            </w:pPr>
          </w:p>
        </w:tc>
        <w:tc>
          <w:tcPr>
            <w:tcW w:type="dxa" w:w="1409"/>
          </w:tcPr>
          <w:p>
            <w:pPr>
              <w:spacing w:after="0"/>
              <w:jc w:val="right"/>
            </w:pPr>
            <w:r>
              <w:t>■</w:t>
            </w:r>
          </w:p>
        </w:tc>
        <w:tc>
          <w:tcPr>
            <w:tcW w:type="dxa" w:w="1409"/>
          </w:tcPr>
          <w:p>
            <w:pPr>
              <w:spacing w:after="0"/>
              <w:jc w:val="right"/>
            </w:pPr>
            <w:r>
              <w:t>■</w:t>
            </w:r>
          </w:p>
        </w:tc>
        <w:tc>
          <w:tcPr>
            <w:tcW w:type="dxa" w:w="1409"/>
          </w:tcPr>
          <w:p>
            <w:pPr>
              <w:spacing w:after="0"/>
            </w:pPr>
            <w:r>
              <w:t>Plans marketing collectifs</w:t>
            </w:r>
          </w:p>
        </w:tc>
      </w:tr>
      <w:tr>
        <w:trPr>
          <w:cantSplit/>
        </w:trPr>
        <w:tc>
          <w:tcPr>
            <w:tcW w:type="dxa" w:w="1409"/>
            <w:shd w:val="clear" w:color="auto" w:fill="F0FDF4"/>
          </w:tcPr>
          <w:p>
            <w:pPr>
              <w:spacing w:after="0"/>
            </w:pPr>
            <w:r>
              <w:t>Bootcamp 5 : Accès au financement</w:t>
            </w:r>
          </w:p>
        </w:tc>
        <w:tc>
          <w:tcPr>
            <w:tcW w:type="dxa" w:w="1409"/>
            <w:shd w:val="clear" w:color="auto" w:fill="F0FDF4"/>
          </w:tcPr>
          <w:p>
            <w:pPr>
              <w:spacing w:after="0"/>
              <w:jc w:val="right"/>
            </w:pPr>
          </w:p>
        </w:tc>
        <w:tc>
          <w:tcPr>
            <w:tcW w:type="dxa" w:w="1409"/>
            <w:shd w:val="clear" w:color="auto" w:fill="F0FDF4"/>
          </w:tcPr>
          <w:p>
            <w:pPr>
              <w:spacing w:after="0"/>
              <w:jc w:val="right"/>
            </w:pPr>
          </w:p>
        </w:tc>
        <w:tc>
          <w:tcPr>
            <w:tcW w:type="dxa" w:w="1409"/>
            <w:shd w:val="clear" w:color="auto" w:fill="F0FDF4"/>
          </w:tcPr>
          <w:p>
            <w:pPr>
              <w:spacing w:after="0"/>
              <w:jc w:val="right"/>
            </w:pPr>
          </w:p>
        </w:tc>
        <w:tc>
          <w:tcPr>
            <w:tcW w:type="dxa" w:w="1409"/>
            <w:shd w:val="clear" w:color="auto" w:fill="F0FDF4"/>
          </w:tcPr>
          <w:p>
            <w:pPr>
              <w:spacing w:after="0"/>
              <w:jc w:val="right"/>
            </w:pPr>
          </w:p>
        </w:tc>
        <w:tc>
          <w:tcPr>
            <w:tcW w:type="dxa" w:w="1409"/>
            <w:shd w:val="clear" w:color="auto" w:fill="F0FDF4"/>
          </w:tcPr>
          <w:p>
            <w:pPr>
              <w:spacing w:after="0"/>
              <w:jc w:val="right"/>
            </w:pPr>
            <w:r>
              <w:t>■</w:t>
            </w:r>
          </w:p>
        </w:tc>
        <w:tc>
          <w:tcPr>
            <w:tcW w:type="dxa" w:w="1409"/>
            <w:shd w:val="clear" w:color="auto" w:fill="F0FDF4"/>
          </w:tcPr>
          <w:p>
            <w:pPr>
              <w:spacing w:after="0"/>
            </w:pPr>
            <w:r>
              <w:t>Demandes de financement préparées</w:t>
            </w:r>
          </w:p>
        </w:tc>
      </w:tr>
    </w:tbl>
    <w:p>
      <w:pPr>
        <w:spacing w:before="0" w:after="0" w:line="120" w:lineRule="exact"/>
      </w:pP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1409"/>
        <w:gridCol w:w="1409"/>
        <w:gridCol w:w="1409"/>
        <w:gridCol w:w="1409"/>
        <w:gridCol w:w="1409"/>
        <w:gridCol w:w="1409"/>
        <w:gridCol w:w="1409"/>
      </w:tblGrid>
      <w:tr>
        <w:trPr>
          <w:cantSplit/>
          <w:tblHeader/>
        </w:trPr>
        <w:tc>
          <w:tcPr>
            <w:tcW w:type="dxa" w:w="1409"/>
            <w:shd w:val="clear" w:color="auto" w:fill="14532D"/>
          </w:tcPr>
          <w:p>
            <w:pPr>
              <w:spacing w:after="0"/>
            </w:pPr>
            <w:r>
              <w:rPr>
                <w:b/>
                <w:color w:val="FFFFFF"/>
              </w:rPr>
              <w:t>Phase / Activité</w:t>
            </w:r>
          </w:p>
        </w:tc>
        <w:tc>
          <w:tcPr>
            <w:tcW w:type="dxa" w:w="1409"/>
            <w:shd w:val="clear" w:color="auto" w:fill="14532D"/>
          </w:tcPr>
          <w:p>
            <w:pPr>
              <w:spacing w:after="0"/>
              <w:jc w:val="right"/>
            </w:pPr>
            <w:r>
              <w:rPr>
                <w:b/>
                <w:color w:val="FFFFFF"/>
              </w:rPr>
              <w:t>M6</w:t>
            </w:r>
          </w:p>
        </w:tc>
        <w:tc>
          <w:tcPr>
            <w:tcW w:type="dxa" w:w="1409"/>
            <w:shd w:val="clear" w:color="auto" w:fill="14532D"/>
          </w:tcPr>
          <w:p>
            <w:pPr>
              <w:spacing w:after="0"/>
              <w:jc w:val="right"/>
            </w:pPr>
            <w:r>
              <w:rPr>
                <w:b/>
                <w:color w:val="FFFFFF"/>
              </w:rPr>
              <w:t>M7</w:t>
            </w:r>
          </w:p>
        </w:tc>
        <w:tc>
          <w:tcPr>
            <w:tcW w:type="dxa" w:w="1409"/>
            <w:shd w:val="clear" w:color="auto" w:fill="14532D"/>
          </w:tcPr>
          <w:p>
            <w:pPr>
              <w:spacing w:after="0"/>
              <w:jc w:val="right"/>
            </w:pPr>
            <w:r>
              <w:rPr>
                <w:b/>
                <w:color w:val="FFFFFF"/>
              </w:rPr>
              <w:t>M8</w:t>
            </w:r>
          </w:p>
        </w:tc>
        <w:tc>
          <w:tcPr>
            <w:tcW w:type="dxa" w:w="1409"/>
            <w:shd w:val="clear" w:color="auto" w:fill="14532D"/>
          </w:tcPr>
          <w:p>
            <w:pPr>
              <w:spacing w:after="0"/>
              <w:jc w:val="right"/>
            </w:pPr>
            <w:r>
              <w:rPr>
                <w:b/>
                <w:color w:val="FFFFFF"/>
              </w:rPr>
              <w:t>M9</w:t>
            </w:r>
          </w:p>
        </w:tc>
        <w:tc>
          <w:tcPr>
            <w:tcW w:type="dxa" w:w="1409"/>
            <w:shd w:val="clear" w:color="auto" w:fill="14532D"/>
          </w:tcPr>
          <w:p>
            <w:pPr>
              <w:spacing w:after="0"/>
              <w:jc w:val="right"/>
            </w:pPr>
            <w:r>
              <w:rPr>
                <w:b/>
                <w:color w:val="FFFFFF"/>
              </w:rPr>
              <w:t>M10</w:t>
            </w:r>
          </w:p>
        </w:tc>
        <w:tc>
          <w:tcPr>
            <w:tcW w:type="dxa" w:w="1409"/>
            <w:shd w:val="clear" w:color="auto" w:fill="14532D"/>
          </w:tcPr>
          <w:p>
            <w:pPr>
              <w:spacing w:after="0"/>
            </w:pPr>
            <w:r>
              <w:rPr>
                <w:b/>
                <w:color w:val="FFFFFF"/>
              </w:rPr>
              <w:t>Jalon</w:t>
            </w:r>
          </w:p>
        </w:tc>
      </w:tr>
      <w:tr>
        <w:trPr>
          <w:cantSplit/>
        </w:trPr>
        <w:tc>
          <w:tcPr>
            <w:tcW w:type="dxa" w:w="1409"/>
          </w:tcPr>
          <w:p>
            <w:pPr>
              <w:spacing w:after="0"/>
            </w:pPr>
            <w:r>
              <w:t>Phase 3 : Coaching final et mise en relation</w:t>
            </w:r>
          </w:p>
        </w:tc>
        <w:tc>
          <w:tcPr>
            <w:tcW w:type="dxa" w:w="1409"/>
          </w:tcPr>
          <w:p>
            <w:pPr>
              <w:spacing w:after="0"/>
              <w:jc w:val="right"/>
            </w:pPr>
            <w:r>
              <w:t>■</w:t>
            </w:r>
          </w:p>
        </w:tc>
        <w:tc>
          <w:tcPr>
            <w:tcW w:type="dxa" w:w="1409"/>
          </w:tcPr>
          <w:p>
            <w:pPr>
              <w:spacing w:after="0"/>
              <w:jc w:val="right"/>
            </w:pPr>
            <w:r>
              <w:t>■</w:t>
            </w:r>
          </w:p>
        </w:tc>
        <w:tc>
          <w:tcPr>
            <w:tcW w:type="dxa" w:w="1409"/>
          </w:tcPr>
          <w:p>
            <w:pPr>
              <w:spacing w:after="0"/>
              <w:jc w:val="right"/>
            </w:pPr>
            <w:r>
              <w:t>■</w:t>
            </w:r>
          </w:p>
        </w:tc>
        <w:tc>
          <w:tcPr>
            <w:tcW w:type="dxa" w:w="1409"/>
          </w:tcPr>
          <w:p>
            <w:pPr>
              <w:spacing w:after="0"/>
              <w:jc w:val="right"/>
            </w:pPr>
            <w:r>
              <w:t>■</w:t>
            </w:r>
          </w:p>
        </w:tc>
        <w:tc>
          <w:tcPr>
            <w:tcW w:type="dxa" w:w="1409"/>
          </w:tcPr>
          <w:p>
            <w:pPr>
              <w:spacing w:after="0"/>
              <w:jc w:val="right"/>
            </w:pPr>
          </w:p>
        </w:tc>
        <w:tc>
          <w:tcPr>
            <w:tcW w:type="dxa" w:w="1409"/>
          </w:tcPr>
          <w:p>
            <w:pPr>
              <w:spacing w:after="0"/>
            </w:pPr>
            <w:r>
              <w:t>Deuxième rapport d'étape (M7) ; pitch devant les bailleurs</w:t>
            </w:r>
          </w:p>
        </w:tc>
      </w:tr>
      <w:tr>
        <w:trPr>
          <w:cantSplit/>
        </w:trPr>
        <w:tc>
          <w:tcPr>
            <w:tcW w:type="dxa" w:w="1409"/>
            <w:shd w:val="clear" w:color="auto" w:fill="F0FDF4"/>
          </w:tcPr>
          <w:p>
            <w:pPr>
              <w:spacing w:after="0"/>
            </w:pPr>
            <w:r>
              <w:t>Mentoring (2 j site + 8 j distance)</w:t>
            </w:r>
          </w:p>
        </w:tc>
        <w:tc>
          <w:tcPr>
            <w:tcW w:type="dxa" w:w="1409"/>
            <w:shd w:val="clear" w:color="auto" w:fill="F0FDF4"/>
          </w:tcPr>
          <w:p>
            <w:pPr>
              <w:spacing w:after="0"/>
              <w:jc w:val="right"/>
            </w:pPr>
            <w:r>
              <w:t>■</w:t>
            </w:r>
          </w:p>
        </w:tc>
        <w:tc>
          <w:tcPr>
            <w:tcW w:type="dxa" w:w="1409"/>
            <w:shd w:val="clear" w:color="auto" w:fill="F0FDF4"/>
          </w:tcPr>
          <w:p>
            <w:pPr>
              <w:spacing w:after="0"/>
              <w:jc w:val="right"/>
            </w:pPr>
            <w:r>
              <w:t>■</w:t>
            </w:r>
          </w:p>
        </w:tc>
        <w:tc>
          <w:tcPr>
            <w:tcW w:type="dxa" w:w="1409"/>
            <w:shd w:val="clear" w:color="auto" w:fill="F0FDF4"/>
          </w:tcPr>
          <w:p>
            <w:pPr>
              <w:spacing w:after="0"/>
              <w:jc w:val="right"/>
            </w:pPr>
            <w:r>
              <w:t>■</w:t>
            </w:r>
          </w:p>
        </w:tc>
        <w:tc>
          <w:tcPr>
            <w:tcW w:type="dxa" w:w="1409"/>
            <w:shd w:val="clear" w:color="auto" w:fill="F0FDF4"/>
          </w:tcPr>
          <w:p>
            <w:pPr>
              <w:spacing w:after="0"/>
              <w:jc w:val="right"/>
            </w:pPr>
            <w:r>
              <w:t>■</w:t>
            </w:r>
          </w:p>
        </w:tc>
        <w:tc>
          <w:tcPr>
            <w:tcW w:type="dxa" w:w="1409"/>
            <w:shd w:val="clear" w:color="auto" w:fill="F0FDF4"/>
          </w:tcPr>
          <w:p>
            <w:pPr>
              <w:spacing w:after="0"/>
              <w:jc w:val="right"/>
            </w:pPr>
            <w:r>
              <w:t>■</w:t>
            </w:r>
          </w:p>
        </w:tc>
        <w:tc>
          <w:tcPr>
            <w:tcW w:type="dxa" w:w="1409"/>
            <w:shd w:val="clear" w:color="auto" w:fill="F0FDF4"/>
          </w:tcPr>
          <w:p>
            <w:pPr>
              <w:spacing w:after="0"/>
            </w:pPr>
            <w:r>
              <w:t>Registres de coaching, 5 sessions de mentoring</w:t>
            </w:r>
          </w:p>
        </w:tc>
      </w:tr>
      <w:tr>
        <w:trPr>
          <w:cantSplit/>
        </w:trPr>
        <w:tc>
          <w:tcPr>
            <w:tcW w:type="dxa" w:w="1409"/>
          </w:tcPr>
          <w:p>
            <w:pPr>
              <w:spacing w:after="0"/>
            </w:pPr>
            <w:r>
              <w:t>Phase 4 : Suivi de l'adoption des acquis</w:t>
            </w:r>
          </w:p>
        </w:tc>
        <w:tc>
          <w:tcPr>
            <w:tcW w:type="dxa" w:w="1409"/>
          </w:tcPr>
          <w:p>
            <w:pPr>
              <w:spacing w:after="0"/>
              <w:jc w:val="right"/>
            </w:pPr>
          </w:p>
        </w:tc>
        <w:tc>
          <w:tcPr>
            <w:tcW w:type="dxa" w:w="1409"/>
          </w:tcPr>
          <w:p>
            <w:pPr>
              <w:spacing w:after="0"/>
              <w:jc w:val="right"/>
            </w:pPr>
          </w:p>
        </w:tc>
        <w:tc>
          <w:tcPr>
            <w:tcW w:type="dxa" w:w="1409"/>
          </w:tcPr>
          <w:p>
            <w:pPr>
              <w:spacing w:after="0"/>
              <w:jc w:val="right"/>
            </w:pPr>
          </w:p>
        </w:tc>
        <w:tc>
          <w:tcPr>
            <w:tcW w:type="dxa" w:w="1409"/>
          </w:tcPr>
          <w:p>
            <w:pPr>
              <w:spacing w:after="0"/>
              <w:jc w:val="right"/>
            </w:pPr>
            <w:r>
              <w:t>■</w:t>
            </w:r>
          </w:p>
        </w:tc>
        <w:tc>
          <w:tcPr>
            <w:tcW w:type="dxa" w:w="1409"/>
          </w:tcPr>
          <w:p>
            <w:pPr>
              <w:spacing w:after="0"/>
              <w:jc w:val="right"/>
            </w:pPr>
            <w:r>
              <w:t>■</w:t>
            </w:r>
          </w:p>
        </w:tc>
        <w:tc>
          <w:tcPr>
            <w:tcW w:type="dxa" w:w="1409"/>
          </w:tcPr>
          <w:p>
            <w:pPr>
              <w:spacing w:after="0"/>
            </w:pPr>
            <w:r>
              <w:t>Rapport final (M10)</w:t>
            </w:r>
          </w:p>
        </w:tc>
      </w:tr>
      <w:tr>
        <w:trPr>
          <w:cantSplit/>
        </w:trPr>
        <w:tc>
          <w:tcPr>
            <w:tcW w:type="dxa" w:w="1409"/>
            <w:shd w:val="clear" w:color="auto" w:fill="F0FDF4"/>
          </w:tcPr>
          <w:p>
            <w:pPr>
              <w:spacing w:after="0"/>
            </w:pPr>
            <w:r>
              <w:t>Capitalisation et documentation des réussites</w:t>
            </w:r>
          </w:p>
        </w:tc>
        <w:tc>
          <w:tcPr>
            <w:tcW w:type="dxa" w:w="1409"/>
            <w:shd w:val="clear" w:color="auto" w:fill="F0FDF4"/>
          </w:tcPr>
          <w:p>
            <w:pPr>
              <w:spacing w:after="0"/>
              <w:jc w:val="right"/>
            </w:pPr>
          </w:p>
        </w:tc>
        <w:tc>
          <w:tcPr>
            <w:tcW w:type="dxa" w:w="1409"/>
            <w:shd w:val="clear" w:color="auto" w:fill="F0FDF4"/>
          </w:tcPr>
          <w:p>
            <w:pPr>
              <w:spacing w:after="0"/>
              <w:jc w:val="right"/>
            </w:pPr>
          </w:p>
        </w:tc>
        <w:tc>
          <w:tcPr>
            <w:tcW w:type="dxa" w:w="1409"/>
            <w:shd w:val="clear" w:color="auto" w:fill="F0FDF4"/>
          </w:tcPr>
          <w:p>
            <w:pPr>
              <w:spacing w:after="0"/>
              <w:jc w:val="right"/>
            </w:pPr>
          </w:p>
        </w:tc>
        <w:tc>
          <w:tcPr>
            <w:tcW w:type="dxa" w:w="1409"/>
            <w:shd w:val="clear" w:color="auto" w:fill="F0FDF4"/>
          </w:tcPr>
          <w:p>
            <w:pPr>
              <w:spacing w:after="0"/>
              <w:jc w:val="right"/>
            </w:pPr>
          </w:p>
        </w:tc>
        <w:tc>
          <w:tcPr>
            <w:tcW w:type="dxa" w:w="1409"/>
            <w:shd w:val="clear" w:color="auto" w:fill="F0FDF4"/>
          </w:tcPr>
          <w:p>
            <w:pPr>
              <w:spacing w:after="0"/>
              <w:jc w:val="right"/>
            </w:pPr>
            <w:r>
              <w:t>■</w:t>
            </w:r>
          </w:p>
        </w:tc>
        <w:tc>
          <w:tcPr>
            <w:tcW w:type="dxa" w:w="1409"/>
            <w:shd w:val="clear" w:color="auto" w:fill="F0FDF4"/>
          </w:tcPr>
          <w:p>
            <w:pPr>
              <w:spacing w:after="0"/>
            </w:pPr>
            <w:r>
              <w:t>Histoires de réussite documentées</w:t>
            </w:r>
          </w:p>
        </w:tc>
      </w:tr>
    </w:tbl>
    <w:p>
      <w:pPr>
        <w:spacing w:before="0" w:after="0" w:line="120" w:lineRule="exact"/>
      </w:pPr>
    </w:p>
    <w:p>
      <w:r>
        <w:t>Le calendrier ci-dessus est une proposition indicative. Le calendrier définitif est arrêté avec la FAO, en tenant compte des saisons culturales et du financement disponible.</w:t>
      </w:r>
    </w:p>
    <w:p>
      <w:pPr>
        <w:pStyle w:val="Heading1"/>
      </w:pPr>
      <w:r>
        <w:t>7. Organisation et équipe</w:t>
      </w:r>
    </w:p>
    <w:p>
      <w:r>
        <w:t>L'équipe proposée respecte la composition minimale exigée par les termes de référence. Toute modification du personnel clé doit être préalablement approuvée par le projet TEFIALA, et les curriculum vitae des personnes proposées sont joints à l'offre.</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Poste</w:t>
            </w:r>
          </w:p>
        </w:tc>
        <w:tc>
          <w:tcPr>
            <w:tcW w:type="dxa" w:w="2466"/>
            <w:shd w:val="clear" w:color="auto" w:fill="14532D"/>
          </w:tcPr>
          <w:p>
            <w:pPr>
              <w:spacing w:after="0"/>
            </w:pPr>
            <w:r>
              <w:rPr>
                <w:b/>
                <w:color w:val="FFFFFF"/>
              </w:rPr>
              <w:t>Principales attributions</w:t>
            </w:r>
          </w:p>
        </w:tc>
        <w:tc>
          <w:tcPr>
            <w:tcW w:type="dxa" w:w="2466"/>
            <w:shd w:val="clear" w:color="auto" w:fill="14532D"/>
          </w:tcPr>
          <w:p>
            <w:pPr>
              <w:spacing w:after="0"/>
              <w:jc w:val="right"/>
            </w:pPr>
            <w:r>
              <w:rPr>
                <w:b/>
                <w:color w:val="FFFFFF"/>
              </w:rPr>
              <w:t>Charge (jours)</w:t>
            </w:r>
          </w:p>
        </w:tc>
        <w:tc>
          <w:tcPr>
            <w:tcW w:type="dxa" w:w="2466"/>
            <w:shd w:val="clear" w:color="auto" w:fill="14532D"/>
          </w:tcPr>
          <w:p>
            <w:pPr>
              <w:spacing w:after="0"/>
            </w:pPr>
            <w:r>
              <w:rPr>
                <w:b/>
                <w:color w:val="FFFFFF"/>
              </w:rPr>
              <w:t>Qualifications minimales exigées</w:t>
            </w:r>
          </w:p>
        </w:tc>
      </w:tr>
      <w:tr>
        <w:trPr>
          <w:cantSplit/>
        </w:trPr>
        <w:tc>
          <w:tcPr>
            <w:tcW w:type="dxa" w:w="2466"/>
          </w:tcPr>
          <w:p>
            <w:pPr>
              <w:spacing w:after="0"/>
            </w:pPr>
            <w:r>
              <w:t>Un (1) Chef de mission</w:t>
            </w:r>
          </w:p>
        </w:tc>
        <w:tc>
          <w:tcPr>
            <w:tcW w:type="dxa" w:w="2466"/>
          </w:tcPr>
          <w:p>
            <w:pPr>
              <w:spacing w:after="0"/>
            </w:pPr>
            <w:r>
              <w:t>Interlocuteur principal du projet ; responsable et point de contact entre TEFIALA et l'incubateur ; suivi du programme d'incubation dans son ensemble, y compris le management de l'équipe et le bon suivi des incubés ; participation aux réunions et missions de supervision avec les bailleurs ; transmission des rapports à l'UGP et à la FAO</w:t>
            </w:r>
          </w:p>
        </w:tc>
        <w:tc>
          <w:tcPr>
            <w:tcW w:type="dxa" w:w="2466"/>
          </w:tcPr>
          <w:p>
            <w:pPr>
              <w:spacing w:after="0"/>
              <w:jc w:val="right"/>
            </w:pPr>
            <w:r>
              <w:t>50</w:t>
            </w:r>
          </w:p>
        </w:tc>
        <w:tc>
          <w:tcPr>
            <w:tcW w:type="dxa" w:w="2466"/>
          </w:tcPr>
          <w:p>
            <w:pPr>
              <w:spacing w:after="0"/>
            </w:pPr>
            <w:r>
              <w:t>Master en agronomie, économie, management de projet, gestion d'entreprise ou équivalent ; 3 ans d'expérience dans l'accompagnement de porteurs de projet (secteur agricole, forestier, économie bleue) ; 3 ans d'expérience confirmée en développement de chaînes de valeurs ; expériences avérées dans au moins deux études sur les chaînes de valeur ; expérience en mécanismes de financement durable du secteur vert ; expérience d'accompagnement de start-up ; expérience de travail avec des PTF internationaux ; forte capacité de gestion de projet et d'équipe ; maîtrise du français et bonne connaissance de l'anglais</w:t>
            </w:r>
          </w:p>
        </w:tc>
      </w:tr>
      <w:tr>
        <w:trPr>
          <w:cantSplit/>
        </w:trPr>
        <w:tc>
          <w:tcPr>
            <w:tcW w:type="dxa" w:w="2466"/>
            <w:shd w:val="clear" w:color="auto" w:fill="F0FDF4"/>
          </w:tcPr>
          <w:p>
            <w:pPr>
              <w:spacing w:after="0"/>
            </w:pPr>
            <w:r>
              <w:t>Deux (2) Formateurs (formateur principal et formateur accompagnateur)</w:t>
            </w:r>
          </w:p>
        </w:tc>
        <w:tc>
          <w:tcPr>
            <w:tcW w:type="dxa" w:w="2466"/>
            <w:shd w:val="clear" w:color="auto" w:fill="F0FDF4"/>
          </w:tcPr>
          <w:p>
            <w:pPr>
              <w:spacing w:after="0"/>
            </w:pPr>
            <w:r>
              <w:t>Assurer la conduite des formations selon les exigences et le standard des programmes d'incubation ; assurer le suivi et le coaching des incubés</w:t>
            </w:r>
          </w:p>
        </w:tc>
        <w:tc>
          <w:tcPr>
            <w:tcW w:type="dxa" w:w="2466"/>
            <w:shd w:val="clear" w:color="auto" w:fill="F0FDF4"/>
          </w:tcPr>
          <w:p>
            <w:pPr>
              <w:spacing w:after="0"/>
              <w:jc w:val="right"/>
            </w:pPr>
            <w:r>
              <w:t>40</w:t>
            </w:r>
          </w:p>
        </w:tc>
        <w:tc>
          <w:tcPr>
            <w:tcW w:type="dxa" w:w="2466"/>
            <w:shd w:val="clear" w:color="auto" w:fill="F0FDF4"/>
          </w:tcPr>
          <w:p>
            <w:pPr>
              <w:spacing w:after="0"/>
            </w:pPr>
            <w:r>
              <w:t>Bac+3 en agronomie, gestion, marketing, entrepreneuriat ou équivalent ; 3 ans d'expérience en formation et accompagnement d'entreprises du secteur agricole ou environnemental ; expériences probantes en montage, analyse et évaluation de plans d'affaires ; bonne connaissance du secteur agricole, forestier et économie bleue à Madagascar ; expérience souhaitée en études ou prospection de marchés et en outils de planification ; expériences pratiques de mobilisation de financement ; maîtrise du dialecte local (Masikoro, Vezo pour Atsimo Andrefana) ; expérience avec une institution de microfinance souhaitée</w:t>
            </w:r>
          </w:p>
        </w:tc>
      </w:tr>
      <w:tr>
        <w:trPr>
          <w:cantSplit/>
        </w:trPr>
        <w:tc>
          <w:tcPr>
            <w:tcW w:type="dxa" w:w="2466"/>
          </w:tcPr>
          <w:p>
            <w:pPr>
              <w:spacing w:after="0"/>
            </w:pPr>
            <w:r>
              <w:t>Un (1) Assistant administratif et logistique</w:t>
            </w:r>
          </w:p>
        </w:tc>
        <w:tc>
          <w:tcPr>
            <w:tcW w:type="dxa" w:w="2466"/>
          </w:tcPr>
          <w:p>
            <w:pPr>
              <w:spacing w:after="0"/>
            </w:pPr>
            <w:r>
              <w:t>Assurer la bonne organisation de la logistique des séances de formation</w:t>
            </w:r>
          </w:p>
        </w:tc>
        <w:tc>
          <w:tcPr>
            <w:tcW w:type="dxa" w:w="2466"/>
          </w:tcPr>
          <w:p>
            <w:pPr>
              <w:spacing w:after="0"/>
              <w:jc w:val="right"/>
            </w:pPr>
            <w:r>
              <w:t>35</w:t>
            </w:r>
          </w:p>
        </w:tc>
        <w:tc>
          <w:tcPr>
            <w:tcW w:type="dxa" w:w="2466"/>
          </w:tcPr>
          <w:p>
            <w:pPr>
              <w:spacing w:after="0"/>
            </w:pPr>
            <w:r>
              <w:t>Bac+3 en administration ou équivalent ; expériences probantes dans l'organisation de formation en milieu rural ; bonnes capacités rédactionnelles ; maîtrise du dialecte local</w:t>
            </w:r>
          </w:p>
        </w:tc>
      </w:tr>
    </w:tbl>
    <w:p>
      <w:pPr>
        <w:spacing w:before="0" w:after="0" w:line="120" w:lineRule="exact"/>
      </w:pPr>
    </w:p>
    <w:p>
      <w:pPr>
        <w:pStyle w:val="Heading2"/>
      </w:pPr>
      <w:r>
        <w:t>7.1 Répartition des responsabilités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Activité</w:t>
            </w:r>
          </w:p>
        </w:tc>
        <w:tc>
          <w:tcPr>
            <w:tcW w:type="dxa" w:w="2466"/>
            <w:shd w:val="clear" w:color="auto" w:fill="14532D"/>
          </w:tcPr>
          <w:p>
            <w:pPr>
              <w:spacing w:after="0"/>
            </w:pPr>
            <w:r>
              <w:rPr>
                <w:b/>
                <w:color w:val="FFFFFF"/>
              </w:rPr>
              <w:t>Chef de mission</w:t>
            </w:r>
          </w:p>
        </w:tc>
        <w:tc>
          <w:tcPr>
            <w:tcW w:type="dxa" w:w="2466"/>
            <w:shd w:val="clear" w:color="auto" w:fill="14532D"/>
          </w:tcPr>
          <w:p>
            <w:pPr>
              <w:spacing w:after="0"/>
            </w:pPr>
            <w:r>
              <w:rPr>
                <w:b/>
                <w:color w:val="FFFFFF"/>
              </w:rPr>
              <w:t>Formateurs</w:t>
            </w:r>
          </w:p>
        </w:tc>
        <w:tc>
          <w:tcPr>
            <w:tcW w:type="dxa" w:w="2466"/>
            <w:shd w:val="clear" w:color="auto" w:fill="14532D"/>
          </w:tcPr>
          <w:p>
            <w:pPr>
              <w:spacing w:after="0"/>
            </w:pPr>
            <w:r>
              <w:rPr>
                <w:b/>
                <w:color w:val="FFFFFF"/>
              </w:rPr>
              <w:t>Assistant admin. et logistique</w:t>
            </w:r>
          </w:p>
        </w:tc>
      </w:tr>
      <w:tr>
        <w:trPr>
          <w:cantSplit/>
        </w:trPr>
        <w:tc>
          <w:tcPr>
            <w:tcW w:type="dxa" w:w="2466"/>
          </w:tcPr>
          <w:p>
            <w:pPr>
              <w:spacing w:after="0"/>
            </w:pPr>
            <w:r>
              <w:t>Cadrage, critères d'éligibilité, coordination UGP/FAO</w:t>
            </w:r>
          </w:p>
        </w:tc>
        <w:tc>
          <w:tcPr>
            <w:tcW w:type="dxa" w:w="2466"/>
          </w:tcPr>
          <w:p>
            <w:pPr>
              <w:spacing w:after="0"/>
            </w:pPr>
            <w:r>
              <w:t>Responsable</w:t>
            </w:r>
          </w:p>
        </w:tc>
        <w:tc>
          <w:tcPr>
            <w:tcW w:type="dxa" w:w="2466"/>
          </w:tcPr>
          <w:p>
            <w:pPr>
              <w:spacing w:after="0"/>
            </w:pPr>
            <w:r>
              <w:t>Appui</w:t>
            </w:r>
          </w:p>
        </w:tc>
        <w:tc>
          <w:tcPr>
            <w:tcW w:type="dxa" w:w="2466"/>
          </w:tcPr>
          <w:p>
            <w:pPr>
              <w:spacing w:after="0"/>
            </w:pPr>
            <w:r>
              <w:t>Appui</w:t>
            </w:r>
          </w:p>
        </w:tc>
      </w:tr>
      <w:tr>
        <w:trPr>
          <w:cantSplit/>
        </w:trPr>
        <w:tc>
          <w:tcPr>
            <w:tcW w:type="dxa" w:w="2466"/>
            <w:shd w:val="clear" w:color="auto" w:fill="F0FDF4"/>
          </w:tcPr>
          <w:p>
            <w:pPr>
              <w:spacing w:after="0"/>
            </w:pPr>
            <w:r>
              <w:t>Mobilisation et sélection des incubés</w:t>
            </w:r>
          </w:p>
        </w:tc>
        <w:tc>
          <w:tcPr>
            <w:tcW w:type="dxa" w:w="2466"/>
            <w:shd w:val="clear" w:color="auto" w:fill="F0FDF4"/>
          </w:tcPr>
          <w:p>
            <w:pPr>
              <w:spacing w:after="0"/>
            </w:pPr>
            <w:r>
              <w:t>Responsable</w:t>
            </w:r>
          </w:p>
        </w:tc>
        <w:tc>
          <w:tcPr>
            <w:tcW w:type="dxa" w:w="2466"/>
            <w:shd w:val="clear" w:color="auto" w:fill="F0FDF4"/>
          </w:tcPr>
          <w:p>
            <w:pPr>
              <w:spacing w:after="0"/>
            </w:pPr>
            <w:r>
              <w:t>Appui</w:t>
            </w:r>
          </w:p>
        </w:tc>
        <w:tc>
          <w:tcPr>
            <w:tcW w:type="dxa" w:w="2466"/>
            <w:shd w:val="clear" w:color="auto" w:fill="F0FDF4"/>
          </w:tcPr>
          <w:p>
            <w:pPr>
              <w:spacing w:after="0"/>
            </w:pPr>
            <w:r>
              <w:t>Appui logistique</w:t>
            </w:r>
          </w:p>
        </w:tc>
      </w:tr>
      <w:tr>
        <w:trPr>
          <w:cantSplit/>
        </w:trPr>
        <w:tc>
          <w:tcPr>
            <w:tcW w:type="dxa" w:w="2466"/>
          </w:tcPr>
          <w:p>
            <w:pPr>
              <w:spacing w:after="0"/>
            </w:pPr>
            <w:r>
              <w:t>Conception et animation des bootcamps</w:t>
            </w:r>
          </w:p>
        </w:tc>
        <w:tc>
          <w:tcPr>
            <w:tcW w:type="dxa" w:w="2466"/>
          </w:tcPr>
          <w:p>
            <w:pPr>
              <w:spacing w:after="0"/>
            </w:pPr>
            <w:r>
              <w:t>Supervision</w:t>
            </w:r>
          </w:p>
        </w:tc>
        <w:tc>
          <w:tcPr>
            <w:tcW w:type="dxa" w:w="2466"/>
          </w:tcPr>
          <w:p>
            <w:pPr>
              <w:spacing w:after="0"/>
            </w:pPr>
            <w:r>
              <w:t>Responsable</w:t>
            </w:r>
          </w:p>
        </w:tc>
        <w:tc>
          <w:tcPr>
            <w:tcW w:type="dxa" w:w="2466"/>
          </w:tcPr>
          <w:p>
            <w:pPr>
              <w:spacing w:after="0"/>
            </w:pPr>
            <w:r>
              <w:t>Organisation</w:t>
            </w:r>
          </w:p>
        </w:tc>
      </w:tr>
      <w:tr>
        <w:trPr>
          <w:cantSplit/>
        </w:trPr>
        <w:tc>
          <w:tcPr>
            <w:tcW w:type="dxa" w:w="2466"/>
            <w:shd w:val="clear" w:color="auto" w:fill="F0FDF4"/>
          </w:tcPr>
          <w:p>
            <w:pPr>
              <w:spacing w:after="0"/>
            </w:pPr>
            <w:r>
              <w:t>Coaching, suivi et mentoring</w:t>
            </w:r>
          </w:p>
        </w:tc>
        <w:tc>
          <w:tcPr>
            <w:tcW w:type="dxa" w:w="2466"/>
            <w:shd w:val="clear" w:color="auto" w:fill="F0FDF4"/>
          </w:tcPr>
          <w:p>
            <w:pPr>
              <w:spacing w:after="0"/>
            </w:pPr>
            <w:r>
              <w:t>Supervision</w:t>
            </w:r>
          </w:p>
        </w:tc>
        <w:tc>
          <w:tcPr>
            <w:tcW w:type="dxa" w:w="2466"/>
            <w:shd w:val="clear" w:color="auto" w:fill="F0FDF4"/>
          </w:tcPr>
          <w:p>
            <w:pPr>
              <w:spacing w:after="0"/>
            </w:pPr>
            <w:r>
              <w:t>Responsable</w:t>
            </w:r>
          </w:p>
        </w:tc>
        <w:tc>
          <w:tcPr>
            <w:tcW w:type="dxa" w:w="2466"/>
            <w:shd w:val="clear" w:color="auto" w:fill="F0FDF4"/>
          </w:tcPr>
          <w:p>
            <w:pPr>
              <w:spacing w:after="0"/>
            </w:pPr>
            <w:r>
              <w:t>Appui</w:t>
            </w:r>
          </w:p>
        </w:tc>
      </w:tr>
      <w:tr>
        <w:trPr>
          <w:cantSplit/>
        </w:trPr>
        <w:tc>
          <w:tcPr>
            <w:tcW w:type="dxa" w:w="2466"/>
          </w:tcPr>
          <w:p>
            <w:pPr>
              <w:spacing w:after="0"/>
            </w:pPr>
            <w:r>
              <w:t>Rapports et reporting financier et narratif</w:t>
            </w:r>
          </w:p>
        </w:tc>
        <w:tc>
          <w:tcPr>
            <w:tcW w:type="dxa" w:w="2466"/>
          </w:tcPr>
          <w:p>
            <w:pPr>
              <w:spacing w:after="0"/>
            </w:pPr>
            <w:r>
              <w:t>Responsable</w:t>
            </w:r>
          </w:p>
        </w:tc>
        <w:tc>
          <w:tcPr>
            <w:tcW w:type="dxa" w:w="2466"/>
          </w:tcPr>
          <w:p>
            <w:pPr>
              <w:spacing w:after="0"/>
            </w:pPr>
            <w:r>
              <w:t>Contribution</w:t>
            </w:r>
          </w:p>
        </w:tc>
        <w:tc>
          <w:tcPr>
            <w:tcW w:type="dxa" w:w="2466"/>
          </w:tcPr>
          <w:p>
            <w:pPr>
              <w:spacing w:after="0"/>
            </w:pPr>
            <w:r>
              <w:t>Appui</w:t>
            </w:r>
          </w:p>
        </w:tc>
      </w:tr>
    </w:tbl>
    <w:p>
      <w:pPr>
        <w:spacing w:before="0" w:after="0" w:line="120" w:lineRule="exact"/>
      </w:pPr>
    </w:p>
    <w:p>
      <w:r>
        <w:rPr>
          <w:b/>
          <w:color w:val="14532D"/>
        </w:rPr>
        <w:t>Composition nominative de l'équipe :</w:t>
      </w:r>
      <w:r>
        <w:t xml:space="preserve"> (à compléter) · noms, curriculum vitae détaillés, copies des diplômes, certificats et attestations de travail à joindre à l'offre.</w:t>
      </w:r>
    </w:p>
    <w:p>
      <w:pPr>
        <w:pStyle w:val="Heading1"/>
      </w:pPr>
      <w:r>
        <w:t>8. Moyens et logistique</w:t>
      </w:r>
    </w:p>
    <w:p>
      <w:r>
        <w:t>Les termes de référence évaluent les moyens matériels proposés (voiture, motos, matériel informatique : tablettes, ordinateur, drone, etc.) ainsi que les moyens humains. Le dispositif prévu pour le Lot 2 doit permettre le déploiement effectif dans les communes d'Ambahikily et d'Antongo Vaovao.</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Catégorie de moyen</w:t>
            </w:r>
          </w:p>
        </w:tc>
        <w:tc>
          <w:tcPr>
            <w:tcW w:type="dxa" w:w="4933"/>
            <w:shd w:val="clear" w:color="auto" w:fill="14532D"/>
          </w:tcPr>
          <w:p>
            <w:pPr>
              <w:spacing w:after="0"/>
            </w:pPr>
            <w:r>
              <w:rPr>
                <w:b/>
                <w:color w:val="FFFFFF"/>
              </w:rPr>
              <w:t>Description proposée</w:t>
            </w:r>
          </w:p>
        </w:tc>
      </w:tr>
      <w:tr>
        <w:trPr>
          <w:cantSplit/>
        </w:trPr>
        <w:tc>
          <w:tcPr>
            <w:tcW w:type="dxa" w:w="4933"/>
          </w:tcPr>
          <w:p>
            <w:pPr>
              <w:spacing w:after="0"/>
            </w:pPr>
            <w:r>
              <w:t>Moyens humains</w:t>
            </w:r>
          </w:p>
        </w:tc>
        <w:tc>
          <w:tcPr>
            <w:tcW w:type="dxa" w:w="4933"/>
          </w:tcPr>
          <w:p>
            <w:pPr>
              <w:spacing w:after="0"/>
            </w:pPr>
            <w:r>
              <w:t>Équipe minimale conforme au § 7 : 1 chef de mission, 2 formateurs, 1 assistant administratif et logistique ; réseau de formateurs, consultants et mentors spécialisés du prestataire mobilisable en appui</w:t>
            </w:r>
          </w:p>
        </w:tc>
      </w:tr>
      <w:tr>
        <w:trPr>
          <w:cantSplit/>
        </w:trPr>
        <w:tc>
          <w:tcPr>
            <w:tcW w:type="dxa" w:w="4933"/>
            <w:shd w:val="clear" w:color="auto" w:fill="F0FDF4"/>
          </w:tcPr>
          <w:p>
            <w:pPr>
              <w:spacing w:after="0"/>
            </w:pPr>
            <w:r>
              <w:t>Moyens roulants</w:t>
            </w:r>
          </w:p>
        </w:tc>
        <w:tc>
          <w:tcPr>
            <w:tcW w:type="dxa" w:w="4933"/>
            <w:shd w:val="clear" w:color="auto" w:fill="F0FDF4"/>
          </w:tcPr>
          <w:p>
            <w:pPr>
              <w:spacing w:after="0"/>
            </w:pPr>
            <w:r>
              <w:t xml:space="preserve">Voiture et motos pour les déplacements dans les communes d'Ambahikily et d'Antongo Vaovao et vers les chefs-lieux (Morombe, Tuléar) · </w:t>
            </w:r>
            <w:r>
              <w:rPr>
                <w:i/>
              </w:rPr>
              <w:t>(à compléter : nombre et type de véhicules)</w:t>
            </w:r>
          </w:p>
        </w:tc>
      </w:tr>
      <w:tr>
        <w:trPr>
          <w:cantSplit/>
        </w:trPr>
        <w:tc>
          <w:tcPr>
            <w:tcW w:type="dxa" w:w="4933"/>
          </w:tcPr>
          <w:p>
            <w:pPr>
              <w:spacing w:after="0"/>
            </w:pPr>
            <w:r>
              <w:t>Matériel informatique et de collecte</w:t>
            </w:r>
          </w:p>
        </w:tc>
        <w:tc>
          <w:tcPr>
            <w:tcW w:type="dxa" w:w="4933"/>
          </w:tcPr>
          <w:p>
            <w:pPr>
              <w:spacing w:after="0"/>
            </w:pPr>
            <w:r>
              <w:t xml:space="preserve">Ordinateurs, tablettes ou smartphones pour la collecte de données sur le terrain et pour garantir un accès équitable à la formation aux participants dépourvus d'outils numériques · </w:t>
            </w:r>
            <w:r>
              <w:rPr>
                <w:i/>
              </w:rPr>
              <w:t>(à compléter : inventaire)</w:t>
            </w:r>
          </w:p>
        </w:tc>
      </w:tr>
      <w:tr>
        <w:trPr>
          <w:cantSplit/>
        </w:trPr>
        <w:tc>
          <w:tcPr>
            <w:tcW w:type="dxa" w:w="4933"/>
            <w:shd w:val="clear" w:color="auto" w:fill="F0FDF4"/>
          </w:tcPr>
          <w:p>
            <w:pPr>
              <w:spacing w:after="0"/>
            </w:pPr>
            <w:r>
              <w:t>Locaux et logistique de formation</w:t>
            </w:r>
          </w:p>
        </w:tc>
        <w:tc>
          <w:tcPr>
            <w:tcW w:type="dxa" w:w="4933"/>
            <w:shd w:val="clear" w:color="auto" w:fill="F0FDF4"/>
          </w:tcPr>
          <w:p>
            <w:pPr>
              <w:spacing w:after="0"/>
            </w:pPr>
            <w:r>
              <w:t xml:space="preserve">Local disposant de la logistique et des infrastructures nécessaires pour accueillir les séances de partage avec les mentors et de réseautage · </w:t>
            </w:r>
            <w:r>
              <w:rPr>
                <w:i/>
              </w:rPr>
              <w:t>(à compléter : local mobilisé)</w:t>
            </w:r>
          </w:p>
        </w:tc>
      </w:tr>
      <w:tr>
        <w:trPr>
          <w:cantSplit/>
        </w:trPr>
        <w:tc>
          <w:tcPr>
            <w:tcW w:type="dxa" w:w="4933"/>
          </w:tcPr>
          <w:p>
            <w:pPr>
              <w:spacing w:after="0"/>
            </w:pPr>
            <w:r>
              <w:t>Supports de formation</w:t>
            </w:r>
          </w:p>
        </w:tc>
        <w:tc>
          <w:tcPr>
            <w:tcW w:type="dxa" w:w="4933"/>
          </w:tcPr>
          <w:p>
            <w:pPr>
              <w:spacing w:after="0"/>
            </w:pPr>
            <w:r>
              <w:t>Modules de formation adaptés au programme d'incubation (édition des supports), outils de gestion et de planification (business model, business plan)</w:t>
            </w:r>
          </w:p>
        </w:tc>
      </w:tr>
    </w:tbl>
    <w:p>
      <w:pPr>
        <w:spacing w:before="0" w:after="0" w:line="120" w:lineRule="exact"/>
      </w:pPr>
    </w:p>
    <w:p>
      <w:pPr>
        <w:pStyle w:val="Heading1"/>
      </w:pPr>
      <w:r>
        <w:t>9. Livrables, suivi et évaluation</w:t>
      </w:r>
    </w:p>
    <w:p>
      <w:pPr>
        <w:pStyle w:val="Heading2"/>
      </w:pPr>
      <w:r>
        <w:t>9.1 Livrables et rapports</w:t>
      </w:r>
    </w:p>
    <w:p>
      <w:r>
        <w:t>Quatre rapports clés sont soumis à la FAO, conditionnant les tranches de paiement.</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4532D"/>
          </w:tcPr>
          <w:p>
            <w:pPr>
              <w:spacing w:after="0"/>
            </w:pPr>
            <w:r>
              <w:rPr>
                <w:b/>
                <w:color w:val="FFFFFF"/>
              </w:rPr>
              <w:t>Livrable</w:t>
            </w:r>
          </w:p>
        </w:tc>
        <w:tc>
          <w:tcPr>
            <w:tcW w:type="dxa" w:w="3289"/>
            <w:shd w:val="clear" w:color="auto" w:fill="14532D"/>
          </w:tcPr>
          <w:p>
            <w:pPr>
              <w:spacing w:after="0"/>
            </w:pPr>
            <w:r>
              <w:rPr>
                <w:b/>
                <w:color w:val="FFFFFF"/>
              </w:rPr>
              <w:t>Échéance</w:t>
            </w:r>
          </w:p>
        </w:tc>
        <w:tc>
          <w:tcPr>
            <w:tcW w:type="dxa" w:w="3289"/>
            <w:shd w:val="clear" w:color="auto" w:fill="14532D"/>
          </w:tcPr>
          <w:p>
            <w:pPr>
              <w:spacing w:after="0"/>
            </w:pPr>
            <w:r>
              <w:rPr>
                <w:b/>
                <w:color w:val="FFFFFF"/>
              </w:rPr>
              <w:t>Contenu attendu</w:t>
            </w:r>
          </w:p>
        </w:tc>
      </w:tr>
      <w:tr>
        <w:trPr>
          <w:cantSplit/>
        </w:trPr>
        <w:tc>
          <w:tcPr>
            <w:tcW w:type="dxa" w:w="3289"/>
          </w:tcPr>
          <w:p>
            <w:pPr>
              <w:spacing w:after="0"/>
            </w:pPr>
            <w:r>
              <w:t>Rapport initial</w:t>
            </w:r>
          </w:p>
        </w:tc>
        <w:tc>
          <w:tcPr>
            <w:tcW w:type="dxa" w:w="3289"/>
          </w:tcPr>
          <w:p>
            <w:pPr>
              <w:spacing w:after="0"/>
            </w:pPr>
            <w:r>
              <w:t>Mois 1</w:t>
            </w:r>
          </w:p>
        </w:tc>
        <w:tc>
          <w:tcPr>
            <w:tcW w:type="dxa" w:w="3289"/>
          </w:tcPr>
          <w:p>
            <w:pPr>
              <w:spacing w:after="0"/>
            </w:pPr>
            <w:r>
              <w:t>Plan de travail détaillé, stratégie de mobilisation des parties prenantes, calendrier d'adaptation du programme, mécanismes de coordination</w:t>
            </w:r>
          </w:p>
        </w:tc>
      </w:tr>
      <w:tr>
        <w:trPr>
          <w:cantSplit/>
        </w:trPr>
        <w:tc>
          <w:tcPr>
            <w:tcW w:type="dxa" w:w="3289"/>
            <w:shd w:val="clear" w:color="auto" w:fill="F0FDF4"/>
          </w:tcPr>
          <w:p>
            <w:pPr>
              <w:spacing w:after="0"/>
            </w:pPr>
            <w:r>
              <w:t>Premier rapport d'étape</w:t>
            </w:r>
          </w:p>
        </w:tc>
        <w:tc>
          <w:tcPr>
            <w:tcW w:type="dxa" w:w="3289"/>
            <w:shd w:val="clear" w:color="auto" w:fill="F0FDF4"/>
          </w:tcPr>
          <w:p>
            <w:pPr>
              <w:spacing w:after="0"/>
            </w:pPr>
            <w:r>
              <w:t>Fin mois 1</w:t>
            </w:r>
          </w:p>
        </w:tc>
        <w:tc>
          <w:tcPr>
            <w:tcW w:type="dxa" w:w="3289"/>
            <w:shd w:val="clear" w:color="auto" w:fill="F0FDF4"/>
          </w:tcPr>
          <w:p>
            <w:pPr>
              <w:spacing w:after="0"/>
            </w:pPr>
            <w:r>
              <w:t>Achèvement des activités d'identification et de mobilisation, y compris les listes de participants</w:t>
            </w:r>
          </w:p>
        </w:tc>
      </w:tr>
      <w:tr>
        <w:trPr>
          <w:cantSplit/>
        </w:trPr>
        <w:tc>
          <w:tcPr>
            <w:tcW w:type="dxa" w:w="3289"/>
          </w:tcPr>
          <w:p>
            <w:pPr>
              <w:spacing w:after="0"/>
            </w:pPr>
            <w:r>
              <w:t>Deuxième rapport d'étape</w:t>
            </w:r>
          </w:p>
        </w:tc>
        <w:tc>
          <w:tcPr>
            <w:tcW w:type="dxa" w:w="3289"/>
          </w:tcPr>
          <w:p>
            <w:pPr>
              <w:spacing w:after="0"/>
            </w:pPr>
            <w:r>
              <w:t>Mois 7</w:t>
            </w:r>
          </w:p>
        </w:tc>
        <w:tc>
          <w:tcPr>
            <w:tcW w:type="dxa" w:w="3289"/>
          </w:tcPr>
          <w:p>
            <w:pPr>
              <w:spacing w:after="0"/>
            </w:pPr>
            <w:r>
              <w:t>Preuves de la mise en œuvre des bootcamps et premiers résultats de la planification commerciale</w:t>
            </w:r>
          </w:p>
        </w:tc>
      </w:tr>
      <w:tr>
        <w:trPr>
          <w:cantSplit/>
        </w:trPr>
        <w:tc>
          <w:tcPr>
            <w:tcW w:type="dxa" w:w="3289"/>
            <w:shd w:val="clear" w:color="auto" w:fill="F0FDF4"/>
          </w:tcPr>
          <w:p>
            <w:pPr>
              <w:spacing w:after="0"/>
            </w:pPr>
            <w:r>
              <w:t>Rapport final</w:t>
            </w:r>
          </w:p>
        </w:tc>
        <w:tc>
          <w:tcPr>
            <w:tcW w:type="dxa" w:w="3289"/>
            <w:shd w:val="clear" w:color="auto" w:fill="F0FDF4"/>
          </w:tcPr>
          <w:p>
            <w:pPr>
              <w:spacing w:after="0"/>
            </w:pPr>
            <w:r>
              <w:t>Mois 10</w:t>
            </w:r>
          </w:p>
        </w:tc>
        <w:tc>
          <w:tcPr>
            <w:tcW w:type="dxa" w:w="3289"/>
            <w:shd w:val="clear" w:color="auto" w:fill="F0FDF4"/>
          </w:tcPr>
          <w:p>
            <w:pPr>
              <w:spacing w:after="0"/>
            </w:pPr>
            <w:r>
              <w:t>Mise en œuvre complète du programme, résultats du mentorat, préparation à l'investissement, soutien post-formation, liens avec le marché, exemples de réussite</w:t>
            </w:r>
          </w:p>
        </w:tc>
      </w:tr>
    </w:tbl>
    <w:p>
      <w:pPr>
        <w:spacing w:before="0" w:after="0" w:line="120" w:lineRule="exact"/>
      </w:pPr>
    </w:p>
    <w:p>
      <w:r>
        <w:t>Chaque rapport est accompagné des pièces justificatives pertinentes (listes de participants, supports de formation, photos, documents financiers, registres de coaching) et est examiné par la FAO. Tout rapport retourné après revue de la FAO est accompagné d'un fichier de suivi des modifications et recommandations.</w:t>
      </w:r>
    </w:p>
    <w:p>
      <w:r>
        <w:t>Les paiements sont effectués en tranches : 30 % à la signature du contrat et à la soumission du rapport initial ; 20 % après approbation du premier rapport intermédiaire ; 30 % après approbation du deuxième rapport intermédiaire vérifiant l'achèvement de la formation ; 20 % à la présentation et à l'approbation du rapport final et du rapprochement financier. Les paiements sont soumis à la bonne exécution des prestations et à la remise des livrables.</w:t>
      </w:r>
    </w:p>
    <w:p>
      <w:pPr>
        <w:pStyle w:val="Heading2"/>
      </w:pPr>
      <w:r>
        <w:t>9.2 Dispositif de suivi, d'évaluation et de reporting</w:t>
      </w:r>
    </w:p>
    <w:p>
      <w:pPr>
        <w:pStyle w:val="ListBullet"/>
      </w:pPr>
      <w:r>
        <w:rPr>
          <w:b/>
          <w:color w:val="14532D"/>
        </w:rPr>
        <w:t>Point focal dédié</w:t>
      </w:r>
      <w:r>
        <w:t xml:space="preserve"> : principal interlocuteur de la FAO et de l'UGP TEFIALA, chargé de faciliter les échanges réguliers, de participer aux réunions de suivi planifiées et de signaler tout défi rencontré ;</w:t>
      </w:r>
    </w:p>
    <w:p>
      <w:pPr>
        <w:pStyle w:val="ListBullet"/>
      </w:pPr>
      <w:r>
        <w:rPr>
          <w:b/>
          <w:color w:val="14532D"/>
        </w:rPr>
        <w:t>Reporting périodique</w:t>
      </w:r>
      <w:r>
        <w:t xml:space="preserve"> : rapports d'avancement, participation aux réunions d'évaluation et aux sessions de retour d'expérience avec la FAO et l'UGP ;</w:t>
      </w:r>
    </w:p>
    <w:p>
      <w:pPr>
        <w:pStyle w:val="ListBullet"/>
      </w:pPr>
      <w:r>
        <w:rPr>
          <w:b/>
          <w:color w:val="14532D"/>
        </w:rPr>
        <w:t>Outils de suivi</w:t>
      </w:r>
      <w:r>
        <w:t xml:space="preserve"> : organigramme amélioré par OP, règlement intérieur mis à jour, fiches de rôles et responsabilités des dirigeants, fiches de présence avec photos, business models, prototype de MVP (Minimum Viable Product), plans stratégiques et pitch decks ;</w:t>
      </w:r>
    </w:p>
    <w:p>
      <w:pPr>
        <w:pStyle w:val="ListBullet"/>
      </w:pPr>
      <w:r>
        <w:rPr>
          <w:b/>
          <w:color w:val="14532D"/>
        </w:rPr>
        <w:t>Règle de gouvernance</w:t>
      </w:r>
      <w:r>
        <w:t xml:space="preserve"> : toute révision de la stratégie de mise en œuvre, du périmètre des activités ou des objectifs de performance est soumise à l'approbation écrite de la FAO avant application.</w:t>
      </w:r>
    </w:p>
    <w:p>
      <w:pPr>
        <w:pStyle w:val="Heading2"/>
      </w:pPr>
      <w:r>
        <w:t>9.3 Indicateurs de performance du Lot 2 et moyens de vérification</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4532D"/>
          </w:tcPr>
          <w:p>
            <w:pPr>
              <w:spacing w:after="0"/>
            </w:pPr>
            <w:r>
              <w:rPr>
                <w:b/>
                <w:color w:val="FFFFFF"/>
              </w:rPr>
              <w:t>Indicateur de performance</w:t>
            </w:r>
          </w:p>
        </w:tc>
        <w:tc>
          <w:tcPr>
            <w:tcW w:type="dxa" w:w="3289"/>
            <w:shd w:val="clear" w:color="auto" w:fill="14532D"/>
          </w:tcPr>
          <w:p>
            <w:pPr>
              <w:spacing w:after="0"/>
              <w:jc w:val="right"/>
            </w:pPr>
            <w:r>
              <w:rPr>
                <w:b/>
                <w:color w:val="FFFFFF"/>
              </w:rPr>
              <w:t>Cible Lot 2</w:t>
            </w:r>
          </w:p>
        </w:tc>
        <w:tc>
          <w:tcPr>
            <w:tcW w:type="dxa" w:w="3289"/>
            <w:shd w:val="clear" w:color="auto" w:fill="14532D"/>
          </w:tcPr>
          <w:p>
            <w:pPr>
              <w:spacing w:after="0"/>
            </w:pPr>
            <w:r>
              <w:rPr>
                <w:b/>
                <w:color w:val="FFFFFF"/>
              </w:rPr>
              <w:t>Moyens de vérification</w:t>
            </w:r>
          </w:p>
        </w:tc>
      </w:tr>
      <w:tr>
        <w:trPr>
          <w:cantSplit/>
        </w:trPr>
        <w:tc>
          <w:tcPr>
            <w:tcW w:type="dxa" w:w="3289"/>
          </w:tcPr>
          <w:p>
            <w:pPr>
              <w:spacing w:after="0"/>
            </w:pPr>
            <w:r>
              <w:t>Nombre de programmes d'incubation mis en œuvre</w:t>
            </w:r>
          </w:p>
        </w:tc>
        <w:tc>
          <w:tcPr>
            <w:tcW w:type="dxa" w:w="3289"/>
          </w:tcPr>
          <w:p>
            <w:pPr>
              <w:spacing w:after="0"/>
              <w:jc w:val="right"/>
            </w:pPr>
            <w:r>
              <w:t>1</w:t>
            </w:r>
          </w:p>
        </w:tc>
        <w:tc>
          <w:tcPr>
            <w:tcW w:type="dxa" w:w="3289"/>
          </w:tcPr>
          <w:p>
            <w:pPr>
              <w:spacing w:after="0"/>
            </w:pPr>
            <w:r>
              <w:t>Contrat d'incubation, planning d'incubation, rapport de démarrage</w:t>
            </w:r>
          </w:p>
        </w:tc>
      </w:tr>
      <w:tr>
        <w:trPr>
          <w:cantSplit/>
        </w:trPr>
        <w:tc>
          <w:tcPr>
            <w:tcW w:type="dxa" w:w="3289"/>
            <w:shd w:val="clear" w:color="auto" w:fill="F0FDF4"/>
          </w:tcPr>
          <w:p>
            <w:pPr>
              <w:spacing w:after="0"/>
            </w:pPr>
            <w:r>
              <w:t>Entrepreneurs verts identifiés et mobilisés</w:t>
            </w:r>
          </w:p>
        </w:tc>
        <w:tc>
          <w:tcPr>
            <w:tcW w:type="dxa" w:w="3289"/>
            <w:shd w:val="clear" w:color="auto" w:fill="F0FDF4"/>
          </w:tcPr>
          <w:p>
            <w:pPr>
              <w:spacing w:after="0"/>
              <w:jc w:val="right"/>
            </w:pPr>
            <w:r>
              <w:t>64</w:t>
            </w:r>
          </w:p>
        </w:tc>
        <w:tc>
          <w:tcPr>
            <w:tcW w:type="dxa" w:w="3289"/>
            <w:shd w:val="clear" w:color="auto" w:fill="F0FDF4"/>
          </w:tcPr>
          <w:p>
            <w:pPr>
              <w:spacing w:after="0"/>
            </w:pPr>
            <w:r>
              <w:t>Liste des incubés, rapport de ciblage, fiches de présence</w:t>
            </w:r>
          </w:p>
        </w:tc>
      </w:tr>
      <w:tr>
        <w:trPr>
          <w:cantSplit/>
        </w:trPr>
        <w:tc>
          <w:tcPr>
            <w:tcW w:type="dxa" w:w="3289"/>
          </w:tcPr>
          <w:p>
            <w:pPr>
              <w:spacing w:after="0"/>
            </w:pPr>
            <w:r>
              <w:t>Proportion d'entrepreneurs verts mobilisés parmi ceux identifiés</w:t>
            </w:r>
          </w:p>
        </w:tc>
        <w:tc>
          <w:tcPr>
            <w:tcW w:type="dxa" w:w="3289"/>
          </w:tcPr>
          <w:p>
            <w:pPr>
              <w:spacing w:after="0"/>
              <w:jc w:val="right"/>
            </w:pPr>
            <w:r>
              <w:t>50 %</w:t>
            </w:r>
          </w:p>
        </w:tc>
        <w:tc>
          <w:tcPr>
            <w:tcW w:type="dxa" w:w="3289"/>
          </w:tcPr>
          <w:p>
            <w:pPr>
              <w:spacing w:after="0"/>
            </w:pPr>
            <w:r>
              <w:t>Liste des incubés, rapport de ciblage, fiches de présence</w:t>
            </w:r>
          </w:p>
        </w:tc>
      </w:tr>
      <w:tr>
        <w:trPr>
          <w:cantSplit/>
        </w:trPr>
        <w:tc>
          <w:tcPr>
            <w:tcW w:type="dxa" w:w="3289"/>
            <w:shd w:val="clear" w:color="auto" w:fill="F0FDF4"/>
          </w:tcPr>
          <w:p>
            <w:pPr>
              <w:spacing w:after="0"/>
            </w:pPr>
            <w:r>
              <w:t>Entrepreneurs retenus pour le programme d'incubation</w:t>
            </w:r>
          </w:p>
        </w:tc>
        <w:tc>
          <w:tcPr>
            <w:tcW w:type="dxa" w:w="3289"/>
            <w:shd w:val="clear" w:color="auto" w:fill="F0FDF4"/>
          </w:tcPr>
          <w:p>
            <w:pPr>
              <w:spacing w:after="0"/>
              <w:jc w:val="right"/>
            </w:pPr>
            <w:r>
              <w:t>32</w:t>
            </w:r>
          </w:p>
        </w:tc>
        <w:tc>
          <w:tcPr>
            <w:tcW w:type="dxa" w:w="3289"/>
            <w:shd w:val="clear" w:color="auto" w:fill="F0FDF4"/>
          </w:tcPr>
          <w:p>
            <w:pPr>
              <w:spacing w:after="0"/>
            </w:pPr>
            <w:r>
              <w:t>Liste des incubés, rapport de ciblage, fiches de présence</w:t>
            </w:r>
          </w:p>
        </w:tc>
      </w:tr>
      <w:tr>
        <w:trPr>
          <w:cantSplit/>
        </w:trPr>
        <w:tc>
          <w:tcPr>
            <w:tcW w:type="dxa" w:w="3289"/>
          </w:tcPr>
          <w:p>
            <w:pPr>
              <w:spacing w:after="0"/>
            </w:pPr>
            <w:r>
              <w:t>OP participantes comptant au moins 25 membres dont 50 % de femmes</w:t>
            </w:r>
          </w:p>
        </w:tc>
        <w:tc>
          <w:tcPr>
            <w:tcW w:type="dxa" w:w="3289"/>
          </w:tcPr>
          <w:p>
            <w:pPr>
              <w:spacing w:after="0"/>
              <w:jc w:val="right"/>
            </w:pPr>
            <w:r>
              <w:t>16</w:t>
            </w:r>
          </w:p>
        </w:tc>
        <w:tc>
          <w:tcPr>
            <w:tcW w:type="dxa" w:w="3289"/>
          </w:tcPr>
          <w:p>
            <w:pPr>
              <w:spacing w:after="0"/>
            </w:pPr>
            <w:r>
              <w:t>Organigrammes, règlement intérieur mis à jour, fiches de rôles, fiches de présence</w:t>
            </w:r>
          </w:p>
        </w:tc>
      </w:tr>
      <w:tr>
        <w:trPr>
          <w:cantSplit/>
        </w:trPr>
        <w:tc>
          <w:tcPr>
            <w:tcW w:type="dxa" w:w="3289"/>
            <w:shd w:val="clear" w:color="auto" w:fill="F0FDF4"/>
          </w:tcPr>
          <w:p>
            <w:pPr>
              <w:spacing w:after="0"/>
            </w:pPr>
            <w:r>
              <w:t>Taux d'inclusion des femmes</w:t>
            </w:r>
          </w:p>
        </w:tc>
        <w:tc>
          <w:tcPr>
            <w:tcW w:type="dxa" w:w="3289"/>
            <w:shd w:val="clear" w:color="auto" w:fill="F0FDF4"/>
          </w:tcPr>
          <w:p>
            <w:pPr>
              <w:spacing w:after="0"/>
              <w:jc w:val="right"/>
            </w:pPr>
            <w:r>
              <w:t>≈ 50 %</w:t>
            </w:r>
          </w:p>
        </w:tc>
        <w:tc>
          <w:tcPr>
            <w:tcW w:type="dxa" w:w="3289"/>
            <w:shd w:val="clear" w:color="auto" w:fill="F0FDF4"/>
          </w:tcPr>
          <w:p>
            <w:pPr>
              <w:spacing w:after="0"/>
            </w:pPr>
            <w:r>
              <w:t>Fiches de présence, listes de participants</w:t>
            </w:r>
          </w:p>
        </w:tc>
      </w:tr>
      <w:tr>
        <w:trPr>
          <w:cantSplit/>
        </w:trPr>
        <w:tc>
          <w:tcPr>
            <w:tcW w:type="dxa" w:w="3289"/>
          </w:tcPr>
          <w:p>
            <w:pPr>
              <w:spacing w:after="0"/>
            </w:pPr>
            <w:r>
              <w:t>Bootcamp gouvernance structurelle des OP</w:t>
            </w:r>
          </w:p>
        </w:tc>
        <w:tc>
          <w:tcPr>
            <w:tcW w:type="dxa" w:w="3289"/>
          </w:tcPr>
          <w:p>
            <w:pPr>
              <w:spacing w:after="0"/>
              <w:jc w:val="right"/>
            </w:pPr>
            <w:r>
              <w:t>1</w:t>
            </w:r>
          </w:p>
        </w:tc>
        <w:tc>
          <w:tcPr>
            <w:tcW w:type="dxa" w:w="3289"/>
          </w:tcPr>
          <w:p>
            <w:pPr>
              <w:spacing w:after="0"/>
            </w:pPr>
            <w:r>
              <w:t>Rapport de formation, fiches de présence avec photos</w:t>
            </w:r>
          </w:p>
        </w:tc>
      </w:tr>
      <w:tr>
        <w:trPr>
          <w:cantSplit/>
        </w:trPr>
        <w:tc>
          <w:tcPr>
            <w:tcW w:type="dxa" w:w="3289"/>
            <w:shd w:val="clear" w:color="auto" w:fill="F0FDF4"/>
          </w:tcPr>
          <w:p>
            <w:pPr>
              <w:spacing w:after="0"/>
            </w:pPr>
            <w:r>
              <w:t>Sessions de formation sur le mindset entrepreneurial</w:t>
            </w:r>
          </w:p>
        </w:tc>
        <w:tc>
          <w:tcPr>
            <w:tcW w:type="dxa" w:w="3289"/>
            <w:shd w:val="clear" w:color="auto" w:fill="F0FDF4"/>
          </w:tcPr>
          <w:p>
            <w:pPr>
              <w:spacing w:after="0"/>
              <w:jc w:val="right"/>
            </w:pPr>
            <w:r>
              <w:t>1</w:t>
            </w:r>
          </w:p>
        </w:tc>
        <w:tc>
          <w:tcPr>
            <w:tcW w:type="dxa" w:w="3289"/>
            <w:shd w:val="clear" w:color="auto" w:fill="F0FDF4"/>
          </w:tcPr>
          <w:p>
            <w:pPr>
              <w:spacing w:after="0"/>
            </w:pPr>
            <w:r>
              <w:t>Présentation du business model, prototypage du MVP, rapport et fiches de présence</w:t>
            </w:r>
          </w:p>
        </w:tc>
      </w:tr>
      <w:tr>
        <w:trPr>
          <w:cantSplit/>
        </w:trPr>
        <w:tc>
          <w:tcPr>
            <w:tcW w:type="dxa" w:w="3289"/>
          </w:tcPr>
          <w:p>
            <w:pPr>
              <w:spacing w:after="0"/>
            </w:pPr>
            <w:r>
              <w:t>Sessions de formation plan d'affaires et gestion financière</w:t>
            </w:r>
          </w:p>
        </w:tc>
        <w:tc>
          <w:tcPr>
            <w:tcW w:type="dxa" w:w="3289"/>
          </w:tcPr>
          <w:p>
            <w:pPr>
              <w:spacing w:after="0"/>
              <w:jc w:val="right"/>
            </w:pPr>
            <w:r>
              <w:t>1</w:t>
            </w:r>
          </w:p>
        </w:tc>
        <w:tc>
          <w:tcPr>
            <w:tcW w:type="dxa" w:w="3289"/>
          </w:tcPr>
          <w:p>
            <w:pPr>
              <w:spacing w:after="0"/>
            </w:pPr>
            <w:r>
              <w:t>Business models, MVP, planification de production, rapport et fiches de présence</w:t>
            </w:r>
          </w:p>
        </w:tc>
      </w:tr>
      <w:tr>
        <w:trPr>
          <w:cantSplit/>
        </w:trPr>
        <w:tc>
          <w:tcPr>
            <w:tcW w:type="dxa" w:w="3289"/>
            <w:shd w:val="clear" w:color="auto" w:fill="F0FDF4"/>
          </w:tcPr>
          <w:p>
            <w:pPr>
              <w:spacing w:after="0"/>
            </w:pPr>
            <w:r>
              <w:t>Sessions de formation marketing et commercialisation</w:t>
            </w:r>
          </w:p>
        </w:tc>
        <w:tc>
          <w:tcPr>
            <w:tcW w:type="dxa" w:w="3289"/>
            <w:shd w:val="clear" w:color="auto" w:fill="F0FDF4"/>
          </w:tcPr>
          <w:p>
            <w:pPr>
              <w:spacing w:after="0"/>
              <w:jc w:val="right"/>
            </w:pPr>
            <w:r>
              <w:t>1</w:t>
            </w:r>
          </w:p>
        </w:tc>
        <w:tc>
          <w:tcPr>
            <w:tcW w:type="dxa" w:w="3289"/>
            <w:shd w:val="clear" w:color="auto" w:fill="F0FDF4"/>
          </w:tcPr>
          <w:p>
            <w:pPr>
              <w:spacing w:after="0"/>
            </w:pPr>
            <w:r>
              <w:t>Plan marketing collectif, rapport et fiches de présence</w:t>
            </w:r>
          </w:p>
        </w:tc>
      </w:tr>
      <w:tr>
        <w:trPr>
          <w:cantSplit/>
        </w:trPr>
        <w:tc>
          <w:tcPr>
            <w:tcW w:type="dxa" w:w="3289"/>
          </w:tcPr>
          <w:p>
            <w:pPr>
              <w:spacing w:after="0"/>
            </w:pPr>
            <w:r>
              <w:t>Sessions de formation accès au financement</w:t>
            </w:r>
          </w:p>
        </w:tc>
        <w:tc>
          <w:tcPr>
            <w:tcW w:type="dxa" w:w="3289"/>
          </w:tcPr>
          <w:p>
            <w:pPr>
              <w:spacing w:after="0"/>
              <w:jc w:val="right"/>
            </w:pPr>
            <w:r>
              <w:t>1</w:t>
            </w:r>
          </w:p>
        </w:tc>
        <w:tc>
          <w:tcPr>
            <w:tcW w:type="dxa" w:w="3289"/>
          </w:tcPr>
          <w:p>
            <w:pPr>
              <w:spacing w:after="0"/>
            </w:pPr>
            <w:r>
              <w:t>Rapport et fiches de présence</w:t>
            </w:r>
          </w:p>
        </w:tc>
      </w:tr>
      <w:tr>
        <w:trPr>
          <w:cantSplit/>
        </w:trPr>
        <w:tc>
          <w:tcPr>
            <w:tcW w:type="dxa" w:w="3289"/>
            <w:shd w:val="clear" w:color="auto" w:fill="F0FDF4"/>
          </w:tcPr>
          <w:p>
            <w:pPr>
              <w:spacing w:after="0"/>
            </w:pPr>
            <w:r>
              <w:t>Producteurs entrepreneurs incubés formés</w:t>
            </w:r>
          </w:p>
        </w:tc>
        <w:tc>
          <w:tcPr>
            <w:tcW w:type="dxa" w:w="3289"/>
            <w:shd w:val="clear" w:color="auto" w:fill="F0FDF4"/>
          </w:tcPr>
          <w:p>
            <w:pPr>
              <w:spacing w:after="0"/>
              <w:jc w:val="right"/>
            </w:pPr>
            <w:r>
              <w:t>32</w:t>
            </w:r>
          </w:p>
        </w:tc>
        <w:tc>
          <w:tcPr>
            <w:tcW w:type="dxa" w:w="3289"/>
            <w:shd w:val="clear" w:color="auto" w:fill="F0FDF4"/>
          </w:tcPr>
          <w:p>
            <w:pPr>
              <w:spacing w:after="0"/>
            </w:pPr>
            <w:r>
              <w:t>Rapport de formation, fiches de présence</w:t>
            </w:r>
          </w:p>
        </w:tc>
      </w:tr>
      <w:tr>
        <w:trPr>
          <w:cantSplit/>
        </w:trPr>
        <w:tc>
          <w:tcPr>
            <w:tcW w:type="dxa" w:w="3289"/>
          </w:tcPr>
          <w:p>
            <w:pPr>
              <w:spacing w:after="0"/>
            </w:pPr>
            <w:r>
              <w:t>Participants accompagnés</w:t>
            </w:r>
          </w:p>
        </w:tc>
        <w:tc>
          <w:tcPr>
            <w:tcW w:type="dxa" w:w="3289"/>
          </w:tcPr>
          <w:p>
            <w:pPr>
              <w:spacing w:after="0"/>
              <w:jc w:val="right"/>
            </w:pPr>
            <w:r>
              <w:t>32</w:t>
            </w:r>
          </w:p>
        </w:tc>
        <w:tc>
          <w:tcPr>
            <w:tcW w:type="dxa" w:w="3289"/>
          </w:tcPr>
          <w:p>
            <w:pPr>
              <w:spacing w:after="0"/>
            </w:pPr>
            <w:r>
              <w:t>Plan stratégique sur 5 ans, pitch deck</w:t>
            </w:r>
          </w:p>
        </w:tc>
      </w:tr>
      <w:tr>
        <w:trPr>
          <w:cantSplit/>
        </w:trPr>
        <w:tc>
          <w:tcPr>
            <w:tcW w:type="dxa" w:w="3289"/>
            <w:shd w:val="clear" w:color="auto" w:fill="F0FDF4"/>
          </w:tcPr>
          <w:p>
            <w:pPr>
              <w:spacing w:after="0"/>
            </w:pPr>
            <w:r>
              <w:t>OP accompagnées</w:t>
            </w:r>
          </w:p>
        </w:tc>
        <w:tc>
          <w:tcPr>
            <w:tcW w:type="dxa" w:w="3289"/>
            <w:shd w:val="clear" w:color="auto" w:fill="F0FDF4"/>
          </w:tcPr>
          <w:p>
            <w:pPr>
              <w:spacing w:after="0"/>
              <w:jc w:val="right"/>
            </w:pPr>
            <w:r>
              <w:t>16</w:t>
            </w:r>
          </w:p>
        </w:tc>
        <w:tc>
          <w:tcPr>
            <w:tcW w:type="dxa" w:w="3289"/>
            <w:shd w:val="clear" w:color="auto" w:fill="F0FDF4"/>
          </w:tcPr>
          <w:p>
            <w:pPr>
              <w:spacing w:after="0"/>
            </w:pPr>
            <w:r>
              <w:t>Plan stratégique, pitch deck</w:t>
            </w:r>
          </w:p>
        </w:tc>
      </w:tr>
      <w:tr>
        <w:trPr>
          <w:cantSplit/>
        </w:trPr>
        <w:tc>
          <w:tcPr>
            <w:tcW w:type="dxa" w:w="3289"/>
          </w:tcPr>
          <w:p>
            <w:pPr>
              <w:spacing w:after="0"/>
            </w:pPr>
            <w:r>
              <w:t>Sessions de mentoring</w:t>
            </w:r>
          </w:p>
        </w:tc>
        <w:tc>
          <w:tcPr>
            <w:tcW w:type="dxa" w:w="3289"/>
          </w:tcPr>
          <w:p>
            <w:pPr>
              <w:spacing w:after="0"/>
              <w:jc w:val="right"/>
            </w:pPr>
            <w:r>
              <w:t>5</w:t>
            </w:r>
          </w:p>
        </w:tc>
        <w:tc>
          <w:tcPr>
            <w:tcW w:type="dxa" w:w="3289"/>
          </w:tcPr>
          <w:p>
            <w:pPr>
              <w:spacing w:after="0"/>
            </w:pPr>
            <w:r>
              <w:t>Registres de coaching, fiches de présence</w:t>
            </w:r>
          </w:p>
        </w:tc>
      </w:tr>
      <w:tr>
        <w:trPr>
          <w:cantSplit/>
        </w:trPr>
        <w:tc>
          <w:tcPr>
            <w:tcW w:type="dxa" w:w="3289"/>
            <w:shd w:val="clear" w:color="auto" w:fill="F0FDF4"/>
          </w:tcPr>
          <w:p>
            <w:pPr>
              <w:spacing w:after="0"/>
            </w:pPr>
            <w:r>
              <w:t>Bénéficiaires indirects du programme d'incubation</w:t>
            </w:r>
          </w:p>
        </w:tc>
        <w:tc>
          <w:tcPr>
            <w:tcW w:type="dxa" w:w="3289"/>
            <w:shd w:val="clear" w:color="auto" w:fill="F0FDF4"/>
          </w:tcPr>
          <w:p>
            <w:pPr>
              <w:spacing w:after="0"/>
              <w:jc w:val="right"/>
            </w:pPr>
            <w:r>
              <w:t>400</w:t>
            </w:r>
          </w:p>
        </w:tc>
        <w:tc>
          <w:tcPr>
            <w:tcW w:type="dxa" w:w="3289"/>
            <w:shd w:val="clear" w:color="auto" w:fill="F0FDF4"/>
          </w:tcPr>
          <w:p>
            <w:pPr>
              <w:spacing w:after="0"/>
            </w:pPr>
            <w:r>
              <w:t>Toutes pièces justificatives</w:t>
            </w:r>
          </w:p>
        </w:tc>
      </w:tr>
      <w:tr>
        <w:trPr>
          <w:cantSplit/>
        </w:trPr>
        <w:tc>
          <w:tcPr>
            <w:tcW w:type="dxa" w:w="3289"/>
          </w:tcPr>
          <w:p>
            <w:pPr>
              <w:spacing w:after="0"/>
            </w:pPr>
            <w:r>
              <w:t>Taux d'applicabilité des acquis durant le processus d'incubation</w:t>
            </w:r>
          </w:p>
        </w:tc>
        <w:tc>
          <w:tcPr>
            <w:tcW w:type="dxa" w:w="3289"/>
          </w:tcPr>
          <w:p>
            <w:pPr>
              <w:spacing w:after="0"/>
              <w:jc w:val="right"/>
            </w:pPr>
            <w:r>
              <w:t>85 %</w:t>
            </w:r>
          </w:p>
        </w:tc>
        <w:tc>
          <w:tcPr>
            <w:tcW w:type="dxa" w:w="3289"/>
          </w:tcPr>
          <w:p>
            <w:pPr>
              <w:spacing w:after="0"/>
            </w:pPr>
            <w:r>
              <w:t>Toutes pièces justificatives</w:t>
            </w:r>
          </w:p>
        </w:tc>
      </w:tr>
      <w:tr>
        <w:trPr>
          <w:cantSplit/>
        </w:trPr>
        <w:tc>
          <w:tcPr>
            <w:tcW w:type="dxa" w:w="3289"/>
            <w:shd w:val="clear" w:color="auto" w:fill="F0FDF4"/>
          </w:tcPr>
          <w:p>
            <w:pPr>
              <w:spacing w:after="0"/>
            </w:pPr>
            <w:r>
              <w:t>Organisations appliquant un mécanisme de gestion participative</w:t>
            </w:r>
          </w:p>
        </w:tc>
        <w:tc>
          <w:tcPr>
            <w:tcW w:type="dxa" w:w="3289"/>
            <w:shd w:val="clear" w:color="auto" w:fill="F0FDF4"/>
          </w:tcPr>
          <w:p>
            <w:pPr>
              <w:spacing w:after="0"/>
              <w:jc w:val="right"/>
            </w:pPr>
            <w:r>
              <w:t>80 %</w:t>
            </w:r>
          </w:p>
        </w:tc>
        <w:tc>
          <w:tcPr>
            <w:tcW w:type="dxa" w:w="3289"/>
            <w:shd w:val="clear" w:color="auto" w:fill="F0FDF4"/>
          </w:tcPr>
          <w:p>
            <w:pPr>
              <w:spacing w:after="0"/>
            </w:pPr>
            <w:r>
              <w:t>Toutes pièces justificatives</w:t>
            </w:r>
          </w:p>
        </w:tc>
      </w:tr>
      <w:tr>
        <w:trPr>
          <w:cantSplit/>
        </w:trPr>
        <w:tc>
          <w:tcPr>
            <w:tcW w:type="dxa" w:w="3289"/>
          </w:tcPr>
          <w:p>
            <w:pPr>
              <w:spacing w:after="0"/>
            </w:pPr>
            <w:r>
              <w:t>Taux d'augmentation du chiffre d'affaires moyen des organisations appuyées</w:t>
            </w:r>
          </w:p>
        </w:tc>
        <w:tc>
          <w:tcPr>
            <w:tcW w:type="dxa" w:w="3289"/>
          </w:tcPr>
          <w:p>
            <w:pPr>
              <w:spacing w:after="0"/>
              <w:jc w:val="right"/>
            </w:pPr>
            <w:r>
              <w:t>50 %</w:t>
            </w:r>
          </w:p>
        </w:tc>
        <w:tc>
          <w:tcPr>
            <w:tcW w:type="dxa" w:w="3289"/>
          </w:tcPr>
          <w:p>
            <w:pPr>
              <w:spacing w:after="0"/>
            </w:pPr>
            <w:r>
              <w:t>Toutes pièces justificatives</w:t>
            </w:r>
          </w:p>
        </w:tc>
      </w:tr>
      <w:tr>
        <w:trPr>
          <w:cantSplit/>
        </w:trPr>
        <w:tc>
          <w:tcPr>
            <w:tcW w:type="dxa" w:w="3289"/>
            <w:shd w:val="clear" w:color="auto" w:fill="F0FDF4"/>
          </w:tcPr>
          <w:p>
            <w:pPr>
              <w:spacing w:after="0"/>
            </w:pPr>
            <w:r>
              <w:t>Taux d'augmentation du chiffre d'affaires des producteurs incubés</w:t>
            </w:r>
          </w:p>
        </w:tc>
        <w:tc>
          <w:tcPr>
            <w:tcW w:type="dxa" w:w="3289"/>
            <w:shd w:val="clear" w:color="auto" w:fill="F0FDF4"/>
          </w:tcPr>
          <w:p>
            <w:pPr>
              <w:spacing w:after="0"/>
              <w:jc w:val="right"/>
            </w:pPr>
            <w:r>
              <w:t>80 %</w:t>
            </w:r>
          </w:p>
        </w:tc>
        <w:tc>
          <w:tcPr>
            <w:tcW w:type="dxa" w:w="3289"/>
            <w:shd w:val="clear" w:color="auto" w:fill="F0FDF4"/>
          </w:tcPr>
          <w:p>
            <w:pPr>
              <w:spacing w:after="0"/>
            </w:pPr>
            <w:r>
              <w:t>Toutes pièces justificatives</w:t>
            </w:r>
          </w:p>
        </w:tc>
      </w:tr>
      <w:tr>
        <w:trPr>
          <w:cantSplit/>
        </w:trPr>
        <w:tc>
          <w:tcPr>
            <w:tcW w:type="dxa" w:w="3289"/>
          </w:tcPr>
          <w:p>
            <w:pPr>
              <w:spacing w:after="0"/>
            </w:pPr>
            <w:r>
              <w:t>Accords / contrats commerciaux établis dans les chaînes de valeurs ciblées</w:t>
            </w:r>
          </w:p>
        </w:tc>
        <w:tc>
          <w:tcPr>
            <w:tcW w:type="dxa" w:w="3289"/>
          </w:tcPr>
          <w:p>
            <w:pPr>
              <w:spacing w:after="0"/>
              <w:jc w:val="right"/>
            </w:pPr>
            <w:r>
              <w:t>1</w:t>
            </w:r>
          </w:p>
        </w:tc>
        <w:tc>
          <w:tcPr>
            <w:tcW w:type="dxa" w:w="3289"/>
          </w:tcPr>
          <w:p>
            <w:pPr>
              <w:spacing w:after="0"/>
            </w:pPr>
            <w:r>
              <w:t>Toutes pièces justificatives</w:t>
            </w:r>
          </w:p>
        </w:tc>
      </w:tr>
      <w:tr>
        <w:trPr>
          <w:cantSplit/>
        </w:trPr>
        <w:tc>
          <w:tcPr>
            <w:tcW w:type="dxa" w:w="3289"/>
            <w:shd w:val="clear" w:color="auto" w:fill="F0FDF4"/>
          </w:tcPr>
          <w:p>
            <w:pPr>
              <w:spacing w:after="0"/>
            </w:pPr>
            <w:r>
              <w:t>Business plans élaborés intégrant un plan de gestion environnemental</w:t>
            </w:r>
          </w:p>
        </w:tc>
        <w:tc>
          <w:tcPr>
            <w:tcW w:type="dxa" w:w="3289"/>
            <w:shd w:val="clear" w:color="auto" w:fill="F0FDF4"/>
          </w:tcPr>
          <w:p>
            <w:pPr>
              <w:spacing w:after="0"/>
              <w:jc w:val="right"/>
            </w:pPr>
            <w:r>
              <w:t>16</w:t>
            </w:r>
          </w:p>
        </w:tc>
        <w:tc>
          <w:tcPr>
            <w:tcW w:type="dxa" w:w="3289"/>
            <w:shd w:val="clear" w:color="auto" w:fill="F0FDF4"/>
          </w:tcPr>
          <w:p>
            <w:pPr>
              <w:spacing w:after="0"/>
            </w:pPr>
            <w:r>
              <w:t>Toutes pièces justificatives</w:t>
            </w:r>
          </w:p>
        </w:tc>
      </w:tr>
    </w:tbl>
    <w:p>
      <w:pPr>
        <w:spacing w:before="0" w:after="0" w:line="120" w:lineRule="exact"/>
      </w:pPr>
    </w:p>
    <w:p>
      <w:pPr>
        <w:pStyle w:val="Heading1"/>
      </w:pPr>
      <w:r>
        <w:t>10. Risques identifiés et mesures prévues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Risque</w:t>
            </w:r>
          </w:p>
        </w:tc>
        <w:tc>
          <w:tcPr>
            <w:tcW w:type="dxa" w:w="4933"/>
            <w:shd w:val="clear" w:color="auto" w:fill="14532D"/>
          </w:tcPr>
          <w:p>
            <w:pPr>
              <w:spacing w:after="0"/>
            </w:pPr>
            <w:r>
              <w:rPr>
                <w:b/>
                <w:color w:val="FFFFFF"/>
              </w:rPr>
              <w:t>Mesure prévue</w:t>
            </w:r>
          </w:p>
        </w:tc>
      </w:tr>
      <w:tr>
        <w:trPr>
          <w:cantSplit/>
        </w:trPr>
        <w:tc>
          <w:tcPr>
            <w:tcW w:type="dxa" w:w="4933"/>
          </w:tcPr>
          <w:p>
            <w:pPr>
              <w:spacing w:after="0"/>
            </w:pPr>
            <w:r>
              <w:t>Mobilisation insuffisante des entrepreneurs verts (décalage entre identifiés et retenus)</w:t>
            </w:r>
          </w:p>
        </w:tc>
        <w:tc>
          <w:tcPr>
            <w:tcW w:type="dxa" w:w="4933"/>
          </w:tcPr>
          <w:p>
            <w:pPr>
              <w:spacing w:after="0"/>
            </w:pPr>
            <w:r>
              <w:t>Campagne de sensibilisation ciblée dans les communes dès le mois 1 ; suivi de la proportion de mobilisation par rapport à la cible d'identification</w:t>
            </w:r>
          </w:p>
        </w:tc>
      </w:tr>
      <w:tr>
        <w:trPr>
          <w:cantSplit/>
        </w:trPr>
        <w:tc>
          <w:tcPr>
            <w:tcW w:type="dxa" w:w="4933"/>
            <w:shd w:val="clear" w:color="auto" w:fill="F0FDF4"/>
          </w:tcPr>
          <w:p>
            <w:pPr>
              <w:spacing w:after="0"/>
            </w:pPr>
            <w:r>
              <w:t>Contraintes d'accès aux communes d'Ambahikily et d'Antongo Vaovao</w:t>
            </w:r>
          </w:p>
        </w:tc>
        <w:tc>
          <w:tcPr>
            <w:tcW w:type="dxa" w:w="4933"/>
            <w:shd w:val="clear" w:color="auto" w:fill="F0FDF4"/>
          </w:tcPr>
          <w:p>
            <w:pPr>
              <w:spacing w:after="0"/>
            </w:pPr>
            <w:r>
              <w:t>Planification des missions en fonction des saisons culturales ; moyens roulants prévus ; regroupement des sessions par zone</w:t>
            </w:r>
          </w:p>
        </w:tc>
      </w:tr>
      <w:tr>
        <w:trPr>
          <w:cantSplit/>
        </w:trPr>
        <w:tc>
          <w:tcPr>
            <w:tcW w:type="dxa" w:w="4933"/>
          </w:tcPr>
          <w:p>
            <w:pPr>
              <w:spacing w:after="0"/>
            </w:pPr>
            <w:r>
              <w:t>Barrière linguistique</w:t>
            </w:r>
          </w:p>
        </w:tc>
        <w:tc>
          <w:tcPr>
            <w:tcW w:type="dxa" w:w="4933"/>
          </w:tcPr>
          <w:p>
            <w:pPr>
              <w:spacing w:after="0"/>
            </w:pPr>
            <w:r>
              <w:t>Mobilisation de formateurs maîtrisant les dialectes locaux (Masikoro, Vezo)</w:t>
            </w:r>
          </w:p>
        </w:tc>
      </w:tr>
      <w:tr>
        <w:trPr>
          <w:cantSplit/>
        </w:trPr>
        <w:tc>
          <w:tcPr>
            <w:tcW w:type="dxa" w:w="4933"/>
            <w:shd w:val="clear" w:color="auto" w:fill="F0FDF4"/>
          </w:tcPr>
          <w:p>
            <w:pPr>
              <w:spacing w:after="0"/>
            </w:pPr>
            <w:r>
              <w:t>Faible adoption des acquis après les bootcamps</w:t>
            </w:r>
          </w:p>
        </w:tc>
        <w:tc>
          <w:tcPr>
            <w:tcW w:type="dxa" w:w="4933"/>
            <w:shd w:val="clear" w:color="auto" w:fill="F0FDF4"/>
          </w:tcPr>
          <w:p>
            <w:pPr>
              <w:spacing w:after="0"/>
            </w:pPr>
            <w:r>
              <w:t>Dispositif de suivi et de mentoring post-formation ; communauté de pratique</w:t>
            </w:r>
          </w:p>
        </w:tc>
      </w:tr>
      <w:tr>
        <w:trPr>
          <w:cantSplit/>
        </w:trPr>
        <w:tc>
          <w:tcPr>
            <w:tcW w:type="dxa" w:w="4933"/>
          </w:tcPr>
          <w:p>
            <w:pPr>
              <w:spacing w:after="0"/>
            </w:pPr>
            <w:r>
              <w:t>Accès limité au financement des incubés</w:t>
            </w:r>
          </w:p>
        </w:tc>
        <w:tc>
          <w:tcPr>
            <w:tcW w:type="dxa" w:w="4933"/>
          </w:tcPr>
          <w:p>
            <w:pPr>
              <w:spacing w:after="0"/>
            </w:pPr>
            <w:r>
              <w:t>Bootcamp dédié à l'accès au financement ; mise en relation avec les mécanismes financiers existants (IMF, banques, GVEC) ; accompagnement au pitch devant les bailleurs locaux</w:t>
            </w:r>
          </w:p>
        </w:tc>
      </w:tr>
      <w:tr>
        <w:trPr>
          <w:cantSplit/>
        </w:trPr>
        <w:tc>
          <w:tcPr>
            <w:tcW w:type="dxa" w:w="4933"/>
            <w:shd w:val="clear" w:color="auto" w:fill="F0FDF4"/>
          </w:tcPr>
          <w:p>
            <w:pPr>
              <w:spacing w:after="0"/>
            </w:pPr>
            <w:r>
              <w:t>Risques de non-respect du calendrier et des livrables</w:t>
            </w:r>
          </w:p>
        </w:tc>
        <w:tc>
          <w:tcPr>
            <w:tcW w:type="dxa" w:w="4933"/>
            <w:shd w:val="clear" w:color="auto" w:fill="F0FDF4"/>
          </w:tcPr>
          <w:p>
            <w:pPr>
              <w:spacing w:after="0"/>
            </w:pPr>
            <w:r>
              <w:t>Point focal dédié ; reporting périodique ; réunions de suivi planifiées avec la FAO et l'UGP</w:t>
            </w:r>
          </w:p>
        </w:tc>
      </w:tr>
      <w:tr>
        <w:trPr>
          <w:cantSplit/>
        </w:trPr>
        <w:tc>
          <w:tcPr>
            <w:tcW w:type="dxa" w:w="4933"/>
          </w:tcPr>
          <w:p>
            <w:pPr>
              <w:spacing w:after="0"/>
            </w:pPr>
            <w:r>
              <w:t>Dépendance à la saisonnalité agricole</w:t>
            </w:r>
          </w:p>
        </w:tc>
        <w:tc>
          <w:tcPr>
            <w:tcW w:type="dxa" w:w="4933"/>
          </w:tcPr>
          <w:p>
            <w:pPr>
              <w:spacing w:after="0"/>
            </w:pPr>
            <w:r>
              <w:t>Calendrier défini conjointement avec la FAO au moment de l'élaboration du contrat</w:t>
            </w:r>
          </w:p>
        </w:tc>
      </w:tr>
    </w:tbl>
    <w:p>
      <w:pPr>
        <w:spacing w:before="0" w:after="0" w:line="120" w:lineRule="exact"/>
      </w:pPr>
    </w:p>
    <w:p>
      <w:pPr>
        <w:pStyle w:val="Heading1"/>
      </w:pPr>
      <w:r>
        <w:t>11. Conformité et annexes</w:t>
      </w:r>
    </w:p>
    <w:p>
      <w:r>
        <w:t>Le soumissionnaire confirme son engagement à respecter les clauses impératives des termes de référence et les conditions applicables aux Protocoles d'Accord de la FAO (Annexe I du TDR).</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Élément requis par l'appel</w:t>
            </w:r>
          </w:p>
        </w:tc>
        <w:tc>
          <w:tcPr>
            <w:tcW w:type="dxa" w:w="4933"/>
            <w:shd w:val="clear" w:color="auto" w:fill="14532D"/>
          </w:tcPr>
          <w:p>
            <w:pPr>
              <w:spacing w:after="0"/>
            </w:pPr>
            <w:r>
              <w:rPr>
                <w:b/>
                <w:color w:val="FFFFFF"/>
              </w:rPr>
              <w:t>Statut</w:t>
            </w:r>
          </w:p>
        </w:tc>
      </w:tr>
      <w:tr>
        <w:trPr>
          <w:cantSplit/>
        </w:trPr>
        <w:tc>
          <w:tcPr>
            <w:tcW w:type="dxa" w:w="4933"/>
          </w:tcPr>
          <w:p>
            <w:pPr>
              <w:spacing w:after="0"/>
            </w:pPr>
            <w:r>
              <w:t>Lettre de soumission signée</w:t>
            </w:r>
          </w:p>
        </w:tc>
        <w:tc>
          <w:tcPr>
            <w:tcW w:type="dxa" w:w="4933"/>
          </w:tcPr>
          <w:p>
            <w:pPr>
              <w:spacing w:after="0"/>
            </w:pPr>
            <w:r>
              <w:t>(à compléter)</w:t>
            </w:r>
          </w:p>
        </w:tc>
      </w:tr>
      <w:tr>
        <w:trPr>
          <w:cantSplit/>
        </w:trPr>
        <w:tc>
          <w:tcPr>
            <w:tcW w:type="dxa" w:w="4933"/>
            <w:shd w:val="clear" w:color="auto" w:fill="F0FDF4"/>
          </w:tcPr>
          <w:p>
            <w:pPr>
              <w:spacing w:after="0"/>
            </w:pPr>
            <w:r>
              <w:t>Nom complet, adresse, courriel et téléphones de l'organisation, personnes à contacter</w:t>
            </w:r>
          </w:p>
        </w:tc>
        <w:tc>
          <w:tcPr>
            <w:tcW w:type="dxa" w:w="4933"/>
            <w:shd w:val="clear" w:color="auto" w:fill="F0FDF4"/>
          </w:tcPr>
          <w:p>
            <w:pPr>
              <w:spacing w:after="0"/>
            </w:pPr>
            <w:r>
              <w:t>(à compléter)</w:t>
            </w:r>
          </w:p>
        </w:tc>
      </w:tr>
      <w:tr>
        <w:trPr>
          <w:cantSplit/>
        </w:trPr>
        <w:tc>
          <w:tcPr>
            <w:tcW w:type="dxa" w:w="4933"/>
          </w:tcPr>
          <w:p>
            <w:pPr>
              <w:spacing w:after="0"/>
            </w:pPr>
            <w:r>
              <w:t>Note synthétique de compréhension de la prestation</w:t>
            </w:r>
          </w:p>
        </w:tc>
        <w:tc>
          <w:tcPr>
            <w:tcW w:type="dxa" w:w="4933"/>
          </w:tcPr>
          <w:p>
            <w:pPr>
              <w:spacing w:after="0"/>
            </w:pPr>
            <w:r>
              <w:t>Fournie · section 2 du présent document</w:t>
            </w:r>
          </w:p>
        </w:tc>
      </w:tr>
      <w:tr>
        <w:trPr>
          <w:cantSplit/>
        </w:trPr>
        <w:tc>
          <w:tcPr>
            <w:tcW w:type="dxa" w:w="4933"/>
            <w:shd w:val="clear" w:color="auto" w:fill="F0FDF4"/>
          </w:tcPr>
          <w:p>
            <w:pPr>
              <w:spacing w:after="0"/>
            </w:pPr>
            <w:r>
              <w:t>Description des expériences pertinentes des 5 dernières années (technique, organisationnel, enveloppe financière)</w:t>
            </w:r>
          </w:p>
        </w:tc>
        <w:tc>
          <w:tcPr>
            <w:tcW w:type="dxa" w:w="4933"/>
            <w:shd w:val="clear" w:color="auto" w:fill="F0FDF4"/>
          </w:tcPr>
          <w:p>
            <w:pPr>
              <w:spacing w:after="0"/>
            </w:pPr>
            <w:r>
              <w:t>(à compléter)</w:t>
            </w:r>
          </w:p>
        </w:tc>
      </w:tr>
      <w:tr>
        <w:trPr>
          <w:cantSplit/>
        </w:trPr>
        <w:tc>
          <w:tcPr>
            <w:tcW w:type="dxa" w:w="4933"/>
          </w:tcPr>
          <w:p>
            <w:pPr>
              <w:spacing w:after="0"/>
            </w:pPr>
            <w:r>
              <w:t>Méthodologie de travail détaillée et moyens prévus</w:t>
            </w:r>
          </w:p>
        </w:tc>
        <w:tc>
          <w:tcPr>
            <w:tcW w:type="dxa" w:w="4933"/>
          </w:tcPr>
          <w:p>
            <w:pPr>
              <w:spacing w:after="0"/>
            </w:pPr>
            <w:r>
              <w:t>Fournie · sections 4, 5 et 8 du présent document</w:t>
            </w:r>
          </w:p>
        </w:tc>
      </w:tr>
      <w:tr>
        <w:trPr>
          <w:cantSplit/>
        </w:trPr>
        <w:tc>
          <w:tcPr>
            <w:tcW w:type="dxa" w:w="4933"/>
            <w:shd w:val="clear" w:color="auto" w:fill="F0FDF4"/>
          </w:tcPr>
          <w:p>
            <w:pPr>
              <w:spacing w:after="0"/>
            </w:pPr>
            <w:r>
              <w:t>Plan opérationnel (cadre de performance) et plan de performance</w:t>
            </w:r>
          </w:p>
        </w:tc>
        <w:tc>
          <w:tcPr>
            <w:tcW w:type="dxa" w:w="4933"/>
            <w:shd w:val="clear" w:color="auto" w:fill="F0FDF4"/>
          </w:tcPr>
          <w:p>
            <w:pPr>
              <w:spacing w:after="0"/>
            </w:pPr>
            <w:r>
              <w:t>Fourni · sections 6 et 9 du présent document</w:t>
            </w:r>
          </w:p>
        </w:tc>
      </w:tr>
      <w:tr>
        <w:trPr>
          <w:cantSplit/>
        </w:trPr>
        <w:tc>
          <w:tcPr>
            <w:tcW w:type="dxa" w:w="4933"/>
          </w:tcPr>
          <w:p>
            <w:pPr>
              <w:spacing w:after="0"/>
            </w:pPr>
            <w:r>
              <w:t>Répartition claire des responsabilités de l'équipe</w:t>
            </w:r>
          </w:p>
        </w:tc>
        <w:tc>
          <w:tcPr>
            <w:tcW w:type="dxa" w:w="4933"/>
          </w:tcPr>
          <w:p>
            <w:pPr>
              <w:spacing w:after="0"/>
            </w:pPr>
            <w:r>
              <w:t>Fournie · section 7.1 du présent document</w:t>
            </w:r>
          </w:p>
        </w:tc>
      </w:tr>
      <w:tr>
        <w:trPr>
          <w:cantSplit/>
        </w:trPr>
        <w:tc>
          <w:tcPr>
            <w:tcW w:type="dxa" w:w="4933"/>
            <w:shd w:val="clear" w:color="auto" w:fill="F0FDF4"/>
          </w:tcPr>
          <w:p>
            <w:pPr>
              <w:spacing w:after="0"/>
            </w:pPr>
            <w:r>
              <w:t>Plan de travail avec chronogramme prévisionnel</w:t>
            </w:r>
          </w:p>
        </w:tc>
        <w:tc>
          <w:tcPr>
            <w:tcW w:type="dxa" w:w="4933"/>
            <w:shd w:val="clear" w:color="auto" w:fill="F0FDF4"/>
          </w:tcPr>
          <w:p>
            <w:pPr>
              <w:spacing w:after="0"/>
            </w:pPr>
            <w:r>
              <w:t>Fourni · section 6 du présent document</w:t>
            </w:r>
          </w:p>
        </w:tc>
      </w:tr>
      <w:tr>
        <w:trPr>
          <w:cantSplit/>
        </w:trPr>
        <w:tc>
          <w:tcPr>
            <w:tcW w:type="dxa" w:w="4933"/>
          </w:tcPr>
          <w:p>
            <w:pPr>
              <w:spacing w:after="0"/>
            </w:pPr>
            <w:r>
              <w:t>Curriculum vitae détaillés des consultants</w:t>
            </w:r>
          </w:p>
        </w:tc>
        <w:tc>
          <w:tcPr>
            <w:tcW w:type="dxa" w:w="4933"/>
          </w:tcPr>
          <w:p>
            <w:pPr>
              <w:spacing w:after="0"/>
            </w:pPr>
            <w:r>
              <w:t>(à compléter)</w:t>
            </w:r>
          </w:p>
        </w:tc>
      </w:tr>
      <w:tr>
        <w:trPr>
          <w:cantSplit/>
        </w:trPr>
        <w:tc>
          <w:tcPr>
            <w:tcW w:type="dxa" w:w="4933"/>
            <w:shd w:val="clear" w:color="auto" w:fill="F0FDF4"/>
          </w:tcPr>
          <w:p>
            <w:pPr>
              <w:spacing w:after="0"/>
            </w:pPr>
            <w:r>
              <w:t>Copies des diplômes, certificats et attestations de travail</w:t>
            </w:r>
          </w:p>
        </w:tc>
        <w:tc>
          <w:tcPr>
            <w:tcW w:type="dxa" w:w="4933"/>
            <w:shd w:val="clear" w:color="auto" w:fill="F0FDF4"/>
          </w:tcPr>
          <w:p>
            <w:pPr>
              <w:spacing w:after="0"/>
            </w:pPr>
            <w:r>
              <w:t>(à compléter)</w:t>
            </w:r>
          </w:p>
        </w:tc>
      </w:tr>
      <w:tr>
        <w:trPr>
          <w:cantSplit/>
        </w:trPr>
        <w:tc>
          <w:tcPr>
            <w:tcW w:type="dxa" w:w="4933"/>
          </w:tcPr>
          <w:p>
            <w:pPr>
              <w:spacing w:after="0"/>
            </w:pPr>
            <w:r>
              <w:t>Document attestant du statut d'entité à but non lucratif</w:t>
            </w:r>
          </w:p>
        </w:tc>
        <w:tc>
          <w:tcPr>
            <w:tcW w:type="dxa" w:w="4933"/>
          </w:tcPr>
          <w:p>
            <w:pPr>
              <w:spacing w:after="0"/>
            </w:pPr>
            <w:r>
              <w:t>(à compléter)</w:t>
            </w:r>
          </w:p>
        </w:tc>
      </w:tr>
      <w:tr>
        <w:trPr>
          <w:cantSplit/>
        </w:trPr>
        <w:tc>
          <w:tcPr>
            <w:tcW w:type="dxa" w:w="4933"/>
            <w:shd w:val="clear" w:color="auto" w:fill="F0FDF4"/>
          </w:tcPr>
          <w:p>
            <w:pPr>
              <w:spacing w:after="0"/>
            </w:pPr>
            <w:r>
              <w:t>Pièces justifiant la régularité légale et fiscale</w:t>
            </w:r>
          </w:p>
        </w:tc>
        <w:tc>
          <w:tcPr>
            <w:tcW w:type="dxa" w:w="4933"/>
            <w:shd w:val="clear" w:color="auto" w:fill="F0FDF4"/>
          </w:tcPr>
          <w:p>
            <w:pPr>
              <w:spacing w:after="0"/>
            </w:pPr>
            <w:r>
              <w:t>(à compléter)</w:t>
            </w:r>
          </w:p>
        </w:tc>
      </w:tr>
      <w:tr>
        <w:trPr>
          <w:cantSplit/>
        </w:trPr>
        <w:tc>
          <w:tcPr>
            <w:tcW w:type="dxa" w:w="4933"/>
          </w:tcPr>
          <w:p>
            <w:pPr>
              <w:spacing w:after="0"/>
            </w:pPr>
            <w:r>
              <w:t>Dossiers administratifs (récépissé, statuts, NIF à jour)</w:t>
            </w:r>
          </w:p>
        </w:tc>
        <w:tc>
          <w:tcPr>
            <w:tcW w:type="dxa" w:w="4933"/>
          </w:tcPr>
          <w:p>
            <w:pPr>
              <w:spacing w:after="0"/>
            </w:pPr>
            <w:r>
              <w:t>(à compléter)</w:t>
            </w:r>
          </w:p>
        </w:tc>
      </w:tr>
      <w:tr>
        <w:trPr>
          <w:cantSplit/>
        </w:trPr>
        <w:tc>
          <w:tcPr>
            <w:tcW w:type="dxa" w:w="4933"/>
            <w:shd w:val="clear" w:color="auto" w:fill="F0FDF4"/>
          </w:tcPr>
          <w:p>
            <w:pPr>
              <w:spacing w:after="0"/>
            </w:pPr>
            <w:r>
              <w:t>Coordonnées bancaires (nom et adresse de la banque, numéro de compte)</w:t>
            </w:r>
          </w:p>
        </w:tc>
        <w:tc>
          <w:tcPr>
            <w:tcW w:type="dxa" w:w="4933"/>
            <w:shd w:val="clear" w:color="auto" w:fill="F0FDF4"/>
          </w:tcPr>
          <w:p>
            <w:pPr>
              <w:spacing w:after="0"/>
            </w:pPr>
            <w:r>
              <w:t>(à compléter)</w:t>
            </w:r>
          </w:p>
        </w:tc>
      </w:tr>
      <w:tr>
        <w:trPr>
          <w:cantSplit/>
        </w:trPr>
        <w:tc>
          <w:tcPr>
            <w:tcW w:type="dxa" w:w="4933"/>
          </w:tcPr>
          <w:p>
            <w:pPr>
              <w:spacing w:after="0"/>
            </w:pPr>
            <w:r>
              <w:t>Acceptation écrite des conditions du Protocole d'Accord de la FAO (Annexe I)</w:t>
            </w:r>
          </w:p>
        </w:tc>
        <w:tc>
          <w:tcPr>
            <w:tcW w:type="dxa" w:w="4933"/>
          </w:tcPr>
          <w:p>
            <w:pPr>
              <w:spacing w:after="0"/>
            </w:pPr>
            <w:r>
              <w:t>(à compléter)</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16A34A"/>
              <w:bottom w:val="nil"/>
              <w:right w:val="nil"/>
            </w:tcBorders>
            <w:shd w:val="clear" w:color="auto" w:fill="ECFDF5"/>
          </w:tcPr>
          <w:p>
            <w:pPr>
              <w:spacing w:after="0"/>
            </w:pPr>
            <w:r>
              <w:rPr>
                <w:b/>
                <w:color w:val="14532D"/>
              </w:rPr>
              <w:t>Modalités de soumission.</w:t>
            </w:r>
            <w:r>
              <w:t xml:space="preserve"> La proposition est envoyée par courriel à MG-Procurement@fao.org et Menja.Razafindraibe@fao.org, en deux parties distinctes (partie technique et partie financière), avec en objet la mention : « RFP/2026/ULA/097 · Partenariat GCP/MAG/090/GFF : Incubation des entreprises vertes _LOT 2_Nom de l'entité ».</w:t>
            </w:r>
          </w:p>
        </w:tc>
      </w:tr>
    </w:tbl>
    <w:p>
      <w:pPr>
        <w:spacing w:before="0" w:after="0" w:line="120" w:lineRule="exact"/>
      </w:pPr>
    </w:p>
    <w:p>
      <w:pPr>
        <w:spacing w:before="560"/>
        <w:ind w:left="5426"/>
      </w:pPr>
      <w:r>
        <w:t>Fait à ............................, le ............................</w:t>
      </w:r>
    </w:p>
    <w:p>
      <w:pPr>
        <w:ind w:left="5426"/>
      </w:pPr>
      <w:r>
        <w:t>Nom et fonction du signataire autorisé : (à compléter)</w:t>
      </w:r>
    </w:p>
    <w:p>
      <w:pPr>
        <w:ind w:left="5426"/>
      </w:pPr>
      <w:r>
        <w:t>Signature et cachet : (à compléter)</w:t>
      </w: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Offre technique · Incubation des entreprises vertes · Lot 2 Bas Mangoky (PBM)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16A34A"/>
      </w:pBdr>
      <w:spacing w:before="360" w:after="160"/>
      <w:outlineLvl w:val="0"/>
    </w:pPr>
    <w:rPr>
      <w:rFonts w:ascii="Calibri" w:hAnsi="Calibri" w:eastAsia="Calibri" w:cs="Calibri"/>
      <w:b/>
      <w:bCs/>
      <w:i w:val="0"/>
      <w:color w:val="14532D"/>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4532D"/>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6A3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 · Incubation des entreprises vertes · Lot 2 Bas Mangoky (PBM)</dc:title>
  <dc:subject/>
  <dc:creator>CARSO — Centre d'Affaires de la Région Sud-Ouest</dc:creator>
  <cp:keywords/>
  <dc:description/>
  <cp:lastModifiedBy>CARSO — Centre d'Affaires de la Région Sud-Ouest</cp:lastModifiedBy>
  <cp:revision>1</cp:revision>
  <dcterms:created xsi:type="dcterms:W3CDTF">2026-10-11T10:44:15Z</dcterms:created>
  <dcterms:modified xsi:type="dcterms:W3CDTF">2026-10-11T10:44:15Z</dcterms:modified>
  <cp:category/>
</cp:coreProperties>
</file>