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866"/>
      </w:tblGrid>
      <w:tr>
        <w:trPr>
          <w:trHeight w:val="12756" w:hRule="exact"/>
        </w:trPr>
        <w:tc>
          <w:tcPr>
            <w:tcW w:type="dxa" w:w="9866"/>
            <w:shd w:val="clear" w:color="auto" w:fill="14532D"/>
            <w:tcMar>
              <w:top w:w="0" w:type="dxa"/>
              <w:left w:w="800" w:type="dxa"/>
              <w:bottom w:w="0" w:type="dxa"/>
              <w:right w:w="800" w:type="dxa"/>
            </w:tcMar>
            <w:vAlign w:val="top"/>
          </w:tcPr>
          <w:p>
            <w:pPr>
              <w:spacing w:before="2806" w:after="200"/>
            </w:pPr>
            <w:r>
              <w:rPr>
                <w:b/>
                <w:color w:val="FFFFFF"/>
                <w:sz w:val="18"/>
              </w:rPr>
              <w:t>APPEL À PROPOSITION · FAO · RFP/2026/ULA/097</w:t>
            </w:r>
          </w:p>
          <w:p>
            <w:pPr>
              <w:spacing w:after="240" w:line="240" w:lineRule="auto"/>
            </w:pPr>
            <w:r>
              <w:rPr>
                <w:b/>
                <w:color w:val="FFFFFF"/>
                <w:sz w:val="64"/>
              </w:rPr>
              <w:t>Offre financière</w:t>
            </w:r>
            <w:r>
              <w:br/>
            </w:r>
            <w:r>
              <w:rPr>
                <w:b/>
                <w:color w:val="FFFFFF"/>
                <w:sz w:val="64"/>
              </w:rPr>
              <w:t>Incubation des entreprises vertes</w:t>
            </w:r>
          </w:p>
          <w:p>
            <w:r>
              <w:rPr>
                <w:color w:val="FFFFFF"/>
                <w:sz w:val="28"/>
              </w:rPr>
              <w:t>Lot 2 · Région Atsimo Andrefana, Paysage Bas Mangoky (PBM), District de Morombe, Communes d'Ambahikily et d'Antongo Vaovao</w:t>
            </w:r>
          </w:p>
          <w:p>
            <w:pPr>
              <w:pBdr>
                <w:top w:val="single" w:sz="4" w:space="6" w:color="FFFFFF"/>
              </w:pBdr>
              <w:spacing w:before="3827"/>
            </w:pPr>
            <w:r>
              <w:rPr>
                <w:b/>
                <w:color w:val="FFFFFF"/>
                <w:sz w:val="20"/>
              </w:rPr>
              <w:t>Soumissionnaire :</w:t>
            </w:r>
            <w:r>
              <w:rPr>
                <w:color w:val="FFFFFF"/>
                <w:sz w:val="20"/>
              </w:rPr>
              <w:t xml:space="preserve"> CARSO, Centre d'Affaires de la Région Sud-Ouest (statut juridique à préciser)</w:t>
            </w:r>
            <w:r>
              <w:rPr>
                <w:color w:val="FFFFFF"/>
                <w:sz w:val="20"/>
              </w:rPr>
              <w:t xml:space="preserve"> </w:t>
            </w:r>
            <w:r>
              <w:br/>
            </w:r>
            <w:r>
              <w:rPr>
                <w:b/>
                <w:color w:val="FFFFFF"/>
                <w:sz w:val="20"/>
              </w:rPr>
              <w:t>Appel :</w:t>
            </w:r>
            <w:r>
              <w:rPr>
                <w:color w:val="FFFFFF"/>
                <w:sz w:val="20"/>
              </w:rPr>
              <w:t xml:space="preserve"> ULA 097, Appel à Proposition TEFIALA 2</w:t>
            </w:r>
            <w:r>
              <w:rPr>
                <w:color w:val="FFFFFF"/>
                <w:sz w:val="20"/>
              </w:rPr>
              <w:t xml:space="preserve"> </w:t>
            </w:r>
            <w:r>
              <w:br/>
            </w:r>
            <w:r>
              <w:rPr>
                <w:b/>
                <w:color w:val="FFFFFF"/>
                <w:sz w:val="20"/>
              </w:rPr>
              <w:t>Émetteur :</w:t>
            </w:r>
            <w:r>
              <w:rPr>
                <w:color w:val="FFFFFF"/>
                <w:sz w:val="20"/>
              </w:rPr>
              <w:t xml:space="preserve"> FAO, Organisation des Nations Unies pour l'alimentation et l'agriculture (Madagascar)</w:t>
            </w:r>
            <w:r>
              <w:rPr>
                <w:color w:val="FFFFFF"/>
                <w:sz w:val="20"/>
              </w:rPr>
              <w:t xml:space="preserve"> </w:t>
            </w:r>
            <w:r>
              <w:br/>
            </w:r>
            <w:r>
              <w:rPr>
                <w:b/>
                <w:color w:val="FFFFFF"/>
                <w:sz w:val="20"/>
              </w:rPr>
              <w:t>Projet :</w:t>
            </w:r>
            <w:r>
              <w:rPr>
                <w:color w:val="FFFFFF"/>
                <w:sz w:val="20"/>
              </w:rPr>
              <w:t xml:space="preserve"> TEFIALA, code GCP/MAG/090/GFF, financement FEM-7 / GEF-7</w:t>
            </w:r>
            <w:r>
              <w:rPr>
                <w:color w:val="FFFFFF"/>
                <w:sz w:val="20"/>
              </w:rPr>
              <w:t xml:space="preserve"> </w:t>
            </w:r>
            <w:r>
              <w:br/>
            </w:r>
            <w:r>
              <w:rPr>
                <w:b/>
                <w:color w:val="FFFFFF"/>
                <w:sz w:val="20"/>
              </w:rPr>
              <w:t>Objet de l'offre :</w:t>
            </w:r>
            <w:r>
              <w:rPr>
                <w:color w:val="FFFFFF"/>
                <w:sz w:val="20"/>
              </w:rPr>
              <w:t xml:space="preserve"> Partie financière (la partie technique est soumise séparément)</w:t>
            </w:r>
            <w:r>
              <w:rPr>
                <w:color w:val="FFFFFF"/>
                <w:sz w:val="20"/>
              </w:rPr>
              <w:t xml:space="preserve"> </w:t>
            </w:r>
            <w:r>
              <w:br/>
            </w:r>
            <w:r>
              <w:rPr>
                <w:b/>
                <w:color w:val="FFFFFF"/>
                <w:sz w:val="20"/>
              </w:rPr>
              <w:t>Date de soumission :</w:t>
            </w:r>
            <w:r>
              <w:rPr>
                <w:color w:val="FFFFFF"/>
                <w:sz w:val="20"/>
              </w:rPr>
              <w:t xml:space="preserve"> (à compléter)</w:t>
            </w:r>
            <w:r>
              <w:rPr>
                <w:color w:val="FFFFFF"/>
                <w:sz w:val="20"/>
              </w:rPr>
              <w:t xml:space="preserve"> 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color w:val="14532D"/>
          <w:sz w:val="32"/>
        </w:rPr>
        <w:t>Sommaire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6B7280"/>
        </w:rPr>
        <w:t>Clic droit puis « Mettre à jour les champs » pour afficher le sommaire.</w:t>
      </w:r>
      <w:r>
        <w:fldChar w:fldCharType="end"/>
      </w:r>
    </w:p>
    <w:p>
      <w:pPr>
        <w:pStyle w:val="Heading1"/>
      </w:pPr>
      <w:r>
        <w:t>1. Synthèse de l'offre financière</w:t>
      </w:r>
    </w:p>
    <w:p>
      <w:pPr>
        <w:pStyle w:val="Lead"/>
      </w:pPr>
      <w:r>
        <w:t>La présente offre financière couvre l'intégralité des prestations du Lot 2 : programme d'incubation des entreprises vertes du Paysage Bas Mangoky, dans les communes d'Ambahikily et d'Antongo Vaovao (District de Morombe, Région Atsimo Andrefana), sur une durée maximale de dix (10) mois à compter de la signature du contrat.</w:t>
      </w:r>
    </w:p>
    <w:p>
      <w:r>
        <w:t>Le budget est structuré en lignes de coûts conformes aux exigences des termes de référence : honoraires du personnel clé (charges exprimées en jours-homme), frais de formation et d'animation des bootcamps, missions de terrain et déplacements, logistique et matériel, suivi et capitalisation. Les montants unitaires et totaux sont à compléter par le soumissionnaire : aucune donnée chiffrée de prix ne figure dans les termes de référence.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0" w:type="dxa"/>
          <w:left w:w="160" w:type="dxa"/>
          <w:bottom w:w="100" w:type="dxa"/>
          <w:right w:w="160" w:type="dxa"/>
        </w:tblCellMar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w:val="nil"/>
              <w:left w:val="single" w:sz="24" w:space="0" w:color="D97706"/>
              <w:bottom w:val="nil"/>
              <w:right w:val="nil"/>
            </w:tcBorders>
            <w:shd w:val="clear" w:color="auto" w:fill="FFFBEB"/>
          </w:tcPr>
          <w:p>
            <w:pPr>
              <w:spacing w:after="0"/>
            </w:pPr>
            <w:r>
              <w:rPr>
                <w:b/>
                <w:color w:val="14532D"/>
              </w:rPr>
              <w:t>Règle de complétude.</w:t>
            </w:r>
            <w:r>
              <w:t xml:space="preserve"> Conformément aux termes de référence, la proposition financière doit être soumise dans une enveloppe distincte de la partie technique. Les montants marqués « (à compléter) » doivent être renseignés avant soumission ; le total général et le détail par ligne doivent être cohérents.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t>2. Hypothèses financières</w:t>
      </w:r>
    </w:p>
    <w:tbl>
      <w:tblPr>
        <w:tblW w:w="5000" w:type="pct"/>
        <w:jc w:val="center"/>
        <w:tblBorders>
          <w:top w:val="nil"/>
          <w:left w:val="nil"/>
          <w:bottom w:val="single" w:sz="8" w:space="0" w:color="14532D"/>
          <w:right w:val="nil"/>
          <w:insideH w:val="single" w:sz="4" w:space="0" w:color="E5E7EB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shd w:val="clear" w:color="auto" w:fill="14532D"/>
          </w:tcPr>
          <w:p>
            <w:pPr>
              <w:spacing w:after="0"/>
            </w:pPr>
            <w:r>
              <w:rPr>
                <w:b/>
                <w:color w:val="FFFFFF"/>
              </w:rPr>
              <w:t>Élément</w:t>
            </w:r>
          </w:p>
        </w:tc>
        <w:tc>
          <w:tcPr>
            <w:tcW w:type="dxa" w:w="4933"/>
            <w:shd w:val="clear" w:color="auto" w:fill="14532D"/>
          </w:tcPr>
          <w:p>
            <w:pPr>
              <w:spacing w:after="0"/>
            </w:pPr>
            <w:r>
              <w:rPr>
                <w:b/>
                <w:color w:val="FFFFFF"/>
              </w:rPr>
              <w:t>Valeur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0"/>
            </w:pPr>
            <w:r>
              <w:t>Périmètre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t>Lot 2 : Paysage Bas Mangoky, District de Morombe, communes d'Ambahikily et d'Antongo Vaovao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0FDF4"/>
          </w:tcPr>
          <w:p>
            <w:pPr>
              <w:spacing w:after="0"/>
            </w:pPr>
            <w:r>
              <w:t>Durée du programme</w:t>
            </w:r>
          </w:p>
        </w:tc>
        <w:tc>
          <w:tcPr>
            <w:tcW w:type="dxa" w:w="4933"/>
            <w:shd w:val="clear" w:color="auto" w:fill="F0FDF4"/>
          </w:tcPr>
          <w:p>
            <w:pPr>
              <w:spacing w:after="0"/>
            </w:pPr>
            <w:r>
              <w:t>10 mois maximum à compter de la signature du contrat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0"/>
            </w:pPr>
            <w:r>
              <w:t>Devise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t>(à compléter : Ariary ou USD, selon exigence FAO)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0FDF4"/>
          </w:tcPr>
          <w:p>
            <w:pPr>
              <w:spacing w:after="0"/>
            </w:pPr>
            <w:r>
              <w:t>TVA / fiscalité applicable</w:t>
            </w:r>
          </w:p>
        </w:tc>
        <w:tc>
          <w:tcPr>
            <w:tcW w:type="dxa" w:w="4933"/>
            <w:shd w:val="clear" w:color="auto" w:fill="F0FDF4"/>
          </w:tcPr>
          <w:p>
            <w:pPr>
              <w:spacing w:after="0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0"/>
            </w:pPr>
            <w:r>
              <w:t>Validité de l'offre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0FDF4"/>
          </w:tcPr>
          <w:p>
            <w:pPr>
              <w:spacing w:after="0"/>
            </w:pPr>
            <w:r>
              <w:t>Modalité de paiement</w:t>
            </w:r>
          </w:p>
        </w:tc>
        <w:tc>
          <w:tcPr>
            <w:tcW w:type="dxa" w:w="4933"/>
            <w:shd w:val="clear" w:color="auto" w:fill="F0FDF4"/>
          </w:tcPr>
          <w:p>
            <w:pPr>
              <w:spacing w:after="0"/>
            </w:pPr>
            <w:r>
              <w:t>Tranches : 30 % à la signature et rapport initial ; 20 % après 1er rapport intermédiaire ; 30 % après 2e rapport intermédiaire ; 20 % après rapport final et rapprochement financier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0"/>
            </w:pPr>
            <w:r>
              <w:t>Préfinancement</w:t>
            </w:r>
          </w:p>
        </w:tc>
        <w:tc>
          <w:tcPr>
            <w:tcW w:type="dxa" w:w="4933"/>
          </w:tcPr>
          <w:p>
            <w:pPr>
              <w:spacing w:after="0"/>
            </w:pPr>
            <w:r>
              <w:t>Capacité à préfinancer jusqu'à 20 % de la proposition (exigence de l'appel)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t>3. Lignes de coûts</w:t>
      </w:r>
    </w:p>
    <w:p>
      <w:pPr>
        <w:pStyle w:val="Heading2"/>
      </w:pPr>
      <w:r>
        <w:t>3.1 Honoraires du personnel clé</w:t>
      </w:r>
    </w:p>
    <w:tbl>
      <w:tblPr>
        <w:tblW w:w="5000" w:type="pct"/>
        <w:jc w:val="center"/>
        <w:tblBorders>
          <w:top w:val="nil"/>
          <w:left w:val="nil"/>
          <w:bottom w:val="single" w:sz="8" w:space="0" w:color="14532D"/>
          <w:right w:val="nil"/>
          <w:insideH w:val="single" w:sz="4" w:space="0" w:color="E5E7EB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val="clear" w:color="auto" w:fill="14532D"/>
          </w:tcPr>
          <w:p>
            <w:pPr>
              <w:spacing w:after="0"/>
            </w:pPr>
            <w:r>
              <w:rPr>
                <w:b/>
                <w:color w:val="FFFFFF"/>
              </w:rPr>
              <w:t>Poste</w:t>
            </w:r>
          </w:p>
        </w:tc>
        <w:tc>
          <w:tcPr>
            <w:tcW w:type="dxa" w:w="2466"/>
            <w:shd w:val="clear" w:color="auto" w:fill="14532D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Charge (jours)</w:t>
            </w:r>
          </w:p>
        </w:tc>
        <w:tc>
          <w:tcPr>
            <w:tcW w:type="dxa" w:w="2466"/>
            <w:shd w:val="clear" w:color="auto" w:fill="14532D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Taux journalier</w:t>
            </w:r>
          </w:p>
        </w:tc>
        <w:tc>
          <w:tcPr>
            <w:tcW w:type="dxa" w:w="2466"/>
            <w:shd w:val="clear" w:color="auto" w:fill="14532D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Montant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/>
            </w:pPr>
            <w:r>
              <w:t>Chef de mission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50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  <w:shd w:val="clear" w:color="auto" w:fill="F0FDF4"/>
          </w:tcPr>
          <w:p>
            <w:pPr>
              <w:spacing w:after="0"/>
            </w:pPr>
            <w:r>
              <w:t>Formateur principal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40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/>
            </w:pPr>
            <w:r>
              <w:t>Formateur accompagnateur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40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  <w:shd w:val="clear" w:color="auto" w:fill="F0FDF4"/>
          </w:tcPr>
          <w:p>
            <w:pPr>
              <w:spacing w:after="0"/>
            </w:pPr>
            <w:r>
              <w:t>Assistant administratif et logistique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35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</w:pPr>
            <w:r>
              <w:rPr>
                <w:b/>
              </w:rPr>
              <w:t>Sous-total honoraires</w:t>
            </w:r>
          </w:p>
        </w:tc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>165</w:t>
            </w:r>
          </w:p>
        </w:tc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  <w:jc w:val="right"/>
            </w:pPr>
          </w:p>
        </w:tc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>(à compléter)</w:t>
            </w:r>
          </w:p>
        </w:tc>
      </w:tr>
    </w:tbl>
    <w:p>
      <w:pPr>
        <w:spacing w:before="0" w:after="0" w:line="120" w:lineRule="exact"/>
      </w:pPr>
    </w:p>
    <w:p>
      <w:r>
        <w:t>Les charges en jours-homme sont celles exigées par les termes de référence. Le taux journalier est à renseigner par le soumissionnaire ; le montant de chaque ligne est le produit de la charge par le taux.</w:t>
      </w:r>
    </w:p>
    <w:p>
      <w:pPr>
        <w:pStyle w:val="Heading2"/>
      </w:pPr>
      <w:r>
        <w:t>3.2 Formation et animation des bootcamps</w:t>
      </w:r>
    </w:p>
    <w:tbl>
      <w:tblPr>
        <w:tblW w:w="5000" w:type="pct"/>
        <w:jc w:val="center"/>
        <w:tblBorders>
          <w:top w:val="nil"/>
          <w:left w:val="nil"/>
          <w:bottom w:val="single" w:sz="8" w:space="0" w:color="14532D"/>
          <w:right w:val="nil"/>
          <w:insideH w:val="single" w:sz="4" w:space="0" w:color="E5E7EB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val="clear" w:color="auto" w:fill="14532D"/>
          </w:tcPr>
          <w:p>
            <w:pPr>
              <w:spacing w:after="0"/>
            </w:pPr>
            <w:r>
              <w:rPr>
                <w:b/>
                <w:color w:val="FFFFFF"/>
              </w:rPr>
              <w:t>Poste de coût</w:t>
            </w:r>
          </w:p>
        </w:tc>
        <w:tc>
          <w:tcPr>
            <w:tcW w:type="dxa" w:w="2466"/>
            <w:shd w:val="clear" w:color="auto" w:fill="14532D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Quantité</w:t>
            </w:r>
          </w:p>
        </w:tc>
        <w:tc>
          <w:tcPr>
            <w:tcW w:type="dxa" w:w="2466"/>
            <w:shd w:val="clear" w:color="auto" w:fill="14532D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Coût unitaire</w:t>
            </w:r>
          </w:p>
        </w:tc>
        <w:tc>
          <w:tcPr>
            <w:tcW w:type="dxa" w:w="2466"/>
            <w:shd w:val="clear" w:color="auto" w:fill="14532D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Montant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/>
            </w:pPr>
            <w:r>
              <w:t>Bootcamp 1 : Gouvernance (3 jours, 2 communes)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2 sessions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  <w:shd w:val="clear" w:color="auto" w:fill="F0FDF4"/>
          </w:tcPr>
          <w:p>
            <w:pPr>
              <w:spacing w:after="0"/>
            </w:pPr>
            <w:r>
              <w:t>Bootcamp 2 : Esprit entrepreneurial (3 jours, 2 communes)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2 sessions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/>
            </w:pPr>
            <w:r>
              <w:t>Bootcamp 3 : Plan d'affaires et gestion financière (3 jours, 2 communes)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2 sessions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  <w:shd w:val="clear" w:color="auto" w:fill="F0FDF4"/>
          </w:tcPr>
          <w:p>
            <w:pPr>
              <w:spacing w:after="0"/>
            </w:pPr>
            <w:r>
              <w:t>Bootcamp 4 : Marketing et commercialisation (3 jours, 2 communes)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2 sessions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/>
            </w:pPr>
            <w:r>
              <w:t>Bootcamp 5 : Accès au financement (3 jours, 2 communes)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2 sessions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  <w:shd w:val="clear" w:color="auto" w:fill="F0FDF4"/>
          </w:tcPr>
          <w:p>
            <w:pPr>
              <w:spacing w:after="0"/>
            </w:pPr>
            <w:r>
              <w:t>Coaching final (2 jours, 2 communes)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2 sessions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/>
            </w:pPr>
            <w:r>
              <w:t>Suivi de l'adoption des acquis (8 jours)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8 jours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  <w:shd w:val="clear" w:color="auto" w:fill="F0FDF4"/>
          </w:tcPr>
          <w:p>
            <w:pPr>
              <w:spacing w:after="0"/>
            </w:pPr>
            <w:r>
              <w:t>Mentoring (10 jours : 2 j site + 8 j distance, 2 séances de 2 h/mois)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10 jours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/>
            </w:pPr>
            <w:r>
              <w:t>Supports de formation (édition, reproduction, kits participants)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forfait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</w:pPr>
            <w:r>
              <w:rPr>
                <w:b/>
              </w:rPr>
              <w:t>Sous-total formation et animation</w:t>
            </w:r>
          </w:p>
        </w:tc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  <w:jc w:val="right"/>
            </w:pPr>
          </w:p>
        </w:tc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  <w:jc w:val="right"/>
            </w:pPr>
          </w:p>
        </w:tc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>(à compléter)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r>
        <w:t>3.3 Missions de terrain et déplacements</w:t>
      </w:r>
    </w:p>
    <w:tbl>
      <w:tblPr>
        <w:tblW w:w="5000" w:type="pct"/>
        <w:jc w:val="center"/>
        <w:tblBorders>
          <w:top w:val="nil"/>
          <w:left w:val="nil"/>
          <w:bottom w:val="single" w:sz="8" w:space="0" w:color="14532D"/>
          <w:right w:val="nil"/>
          <w:insideH w:val="single" w:sz="4" w:space="0" w:color="E5E7EB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val="clear" w:color="auto" w:fill="14532D"/>
          </w:tcPr>
          <w:p>
            <w:pPr>
              <w:spacing w:after="0"/>
            </w:pPr>
            <w:r>
              <w:rPr>
                <w:b/>
                <w:color w:val="FFFFFF"/>
              </w:rPr>
              <w:t>Poste de coût</w:t>
            </w:r>
          </w:p>
        </w:tc>
        <w:tc>
          <w:tcPr>
            <w:tcW w:type="dxa" w:w="2466"/>
            <w:shd w:val="clear" w:color="auto" w:fill="14532D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Quantité</w:t>
            </w:r>
          </w:p>
        </w:tc>
        <w:tc>
          <w:tcPr>
            <w:tcW w:type="dxa" w:w="2466"/>
            <w:shd w:val="clear" w:color="auto" w:fill="14532D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Coût unitaire</w:t>
            </w:r>
          </w:p>
        </w:tc>
        <w:tc>
          <w:tcPr>
            <w:tcW w:type="dxa" w:w="2466"/>
            <w:shd w:val="clear" w:color="auto" w:fill="14532D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Montant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/>
            </w:pPr>
            <w:r>
              <w:t>Missions de sensibilisation et mobilisation (communes d'Ambahikily et d'Antongo Vaovao)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  <w:shd w:val="clear" w:color="auto" w:fill="F0FDF4"/>
          </w:tcPr>
          <w:p>
            <w:pPr>
              <w:spacing w:after="0"/>
            </w:pPr>
            <w:r>
              <w:t>Missions de ciblage et sélection des incubés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/>
            </w:pPr>
            <w:r>
              <w:t>Déplacements Tuléar / Morombe / sites (carburant, péages)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  <w:shd w:val="clear" w:color="auto" w:fill="F0FDF4"/>
          </w:tcPr>
          <w:p>
            <w:pPr>
              <w:spacing w:after="0"/>
            </w:pPr>
            <w:r>
              <w:t>Hébergement et per diem des équipes en mission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</w:pPr>
            <w:r>
              <w:rPr>
                <w:b/>
              </w:rPr>
              <w:t>Sous-total missions et déplacements</w:t>
            </w:r>
          </w:p>
        </w:tc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  <w:jc w:val="right"/>
            </w:pPr>
          </w:p>
        </w:tc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  <w:jc w:val="right"/>
            </w:pPr>
          </w:p>
        </w:tc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>(à compléter)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r>
        <w:t>3.4 Logistique et matériel</w:t>
      </w:r>
    </w:p>
    <w:tbl>
      <w:tblPr>
        <w:tblW w:w="5000" w:type="pct"/>
        <w:jc w:val="center"/>
        <w:tblBorders>
          <w:top w:val="nil"/>
          <w:left w:val="nil"/>
          <w:bottom w:val="single" w:sz="8" w:space="0" w:color="14532D"/>
          <w:right w:val="nil"/>
          <w:insideH w:val="single" w:sz="4" w:space="0" w:color="E5E7EB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val="clear" w:color="auto" w:fill="14532D"/>
          </w:tcPr>
          <w:p>
            <w:pPr>
              <w:spacing w:after="0"/>
            </w:pPr>
            <w:r>
              <w:rPr>
                <w:b/>
                <w:color w:val="FFFFFF"/>
              </w:rPr>
              <w:t>Poste de coût</w:t>
            </w:r>
          </w:p>
        </w:tc>
        <w:tc>
          <w:tcPr>
            <w:tcW w:type="dxa" w:w="2466"/>
            <w:shd w:val="clear" w:color="auto" w:fill="14532D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Quantité</w:t>
            </w:r>
          </w:p>
        </w:tc>
        <w:tc>
          <w:tcPr>
            <w:tcW w:type="dxa" w:w="2466"/>
            <w:shd w:val="clear" w:color="auto" w:fill="14532D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Coût unitaire</w:t>
            </w:r>
          </w:p>
        </w:tc>
        <w:tc>
          <w:tcPr>
            <w:tcW w:type="dxa" w:w="2466"/>
            <w:shd w:val="clear" w:color="auto" w:fill="14532D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Montant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/>
            </w:pPr>
            <w:r>
              <w:t>Location / amortissement véhicule et motos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  <w:shd w:val="clear" w:color="auto" w:fill="F0FDF4"/>
          </w:tcPr>
          <w:p>
            <w:pPr>
              <w:spacing w:after="0"/>
            </w:pPr>
            <w:r>
              <w:t>Matériel informatique et de collecte (ordinateurs, tablettes, drone)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/>
            </w:pPr>
            <w:r>
              <w:t>Location de salles de formation (2 communes, 5 bootcamps + coaching)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  <w:shd w:val="clear" w:color="auto" w:fill="F0FDF4"/>
          </w:tcPr>
          <w:p>
            <w:pPr>
              <w:spacing w:after="0"/>
            </w:pPr>
            <w:r>
              <w:t>Communication (crédit téléphone, internet pour mentoring à distance)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/>
            </w:pPr>
            <w:r>
              <w:t>Fournitures diverses et consommables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</w:pPr>
            <w:r>
              <w:rPr>
                <w:b/>
              </w:rPr>
              <w:t>Sous-total logistique et matériel</w:t>
            </w:r>
          </w:p>
        </w:tc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  <w:jc w:val="right"/>
            </w:pPr>
          </w:p>
        </w:tc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  <w:jc w:val="right"/>
            </w:pPr>
          </w:p>
        </w:tc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>(à compléter)</w:t>
            </w:r>
          </w:p>
        </w:tc>
      </w:tr>
    </w:tbl>
    <w:p>
      <w:pPr>
        <w:spacing w:before="0" w:after="0" w:line="120" w:lineRule="exact"/>
      </w:pPr>
    </w:p>
    <w:p>
      <w:pPr>
        <w:pStyle w:val="Heading2"/>
      </w:pPr>
      <w:r>
        <w:t>3.5 Suivi, capitalisation et frais généraux</w:t>
      </w:r>
    </w:p>
    <w:tbl>
      <w:tblPr>
        <w:tblW w:w="5000" w:type="pct"/>
        <w:jc w:val="center"/>
        <w:tblBorders>
          <w:top w:val="nil"/>
          <w:left w:val="nil"/>
          <w:bottom w:val="single" w:sz="8" w:space="0" w:color="14532D"/>
          <w:right w:val="nil"/>
          <w:insideH w:val="single" w:sz="4" w:space="0" w:color="E5E7EB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/>
        </w:trPr>
        <w:tc>
          <w:tcPr>
            <w:tcW w:type="dxa" w:w="2466"/>
            <w:shd w:val="clear" w:color="auto" w:fill="14532D"/>
          </w:tcPr>
          <w:p>
            <w:pPr>
              <w:spacing w:after="0"/>
            </w:pPr>
            <w:r>
              <w:rPr>
                <w:b/>
                <w:color w:val="FFFFFF"/>
              </w:rPr>
              <w:t>Poste de coût</w:t>
            </w:r>
          </w:p>
        </w:tc>
        <w:tc>
          <w:tcPr>
            <w:tcW w:type="dxa" w:w="2466"/>
            <w:shd w:val="clear" w:color="auto" w:fill="14532D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Quantité</w:t>
            </w:r>
          </w:p>
        </w:tc>
        <w:tc>
          <w:tcPr>
            <w:tcW w:type="dxa" w:w="2466"/>
            <w:shd w:val="clear" w:color="auto" w:fill="14532D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Coût unitaire</w:t>
            </w:r>
          </w:p>
        </w:tc>
        <w:tc>
          <w:tcPr>
            <w:tcW w:type="dxa" w:w="2466"/>
            <w:shd w:val="clear" w:color="auto" w:fill="14532D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Montant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/>
            </w:pPr>
            <w:r>
              <w:t>Élaboration des 4 rapports (initial, 2 étapes, final) et pièces justificatives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4 rapports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  <w:shd w:val="clear" w:color="auto" w:fill="F0FDF4"/>
          </w:tcPr>
          <w:p>
            <w:pPr>
              <w:spacing w:after="0"/>
            </w:pPr>
            <w:r>
              <w:t>Capitalisation et documentation des réussites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forfait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</w:tcPr>
          <w:p>
            <w:pPr>
              <w:spacing w:after="0"/>
            </w:pPr>
            <w:r>
              <w:t>Frais généraux / frais de structure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  <w:shd w:val="clear" w:color="auto" w:fill="F0FDF4"/>
          </w:tcPr>
          <w:p>
            <w:pPr>
              <w:spacing w:after="0"/>
            </w:pPr>
            <w:r>
              <w:t>Provision pour imprévus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  <w:tc>
          <w:tcPr>
            <w:tcW w:type="dxa" w:w="2466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</w:pPr>
            <w:r>
              <w:rPr>
                <w:b/>
              </w:rPr>
              <w:t>Sous-total suivi, capitalisation et frais généraux</w:t>
            </w:r>
          </w:p>
        </w:tc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  <w:jc w:val="right"/>
            </w:pPr>
          </w:p>
        </w:tc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  <w:jc w:val="right"/>
            </w:pPr>
          </w:p>
        </w:tc>
        <w:tc>
          <w:tcPr>
            <w:tcW w:type="dxa" w:w="2466"/>
            <w:tcBorders>
              <w:top w:val="single" w:sz="12" w:space="0" w:color="14532D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>(à compléter)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t>4. Budget consolidé</w:t>
      </w:r>
    </w:p>
    <w:tbl>
      <w:tblPr>
        <w:tblW w:w="5000" w:type="pct"/>
        <w:jc w:val="center"/>
        <w:tblBorders>
          <w:top w:val="nil"/>
          <w:left w:val="nil"/>
          <w:bottom w:val="single" w:sz="8" w:space="0" w:color="14532D"/>
          <w:right w:val="nil"/>
          <w:insideH w:val="single" w:sz="4" w:space="0" w:color="E5E7EB"/>
          <w:insideV w:val="nil"/>
        </w:tblBorders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/>
        </w:trPr>
        <w:tc>
          <w:tcPr>
            <w:tcW w:type="dxa" w:w="4933"/>
            <w:shd w:val="clear" w:color="auto" w:fill="14532D"/>
          </w:tcPr>
          <w:p>
            <w:pPr>
              <w:spacing w:after="0"/>
            </w:pPr>
            <w:r>
              <w:rPr>
                <w:b/>
                <w:color w:val="FFFFFF"/>
              </w:rPr>
              <w:t>Rubrique</w:t>
            </w:r>
          </w:p>
        </w:tc>
        <w:tc>
          <w:tcPr>
            <w:tcW w:type="dxa" w:w="4933"/>
            <w:shd w:val="clear" w:color="auto" w:fill="14532D"/>
          </w:tcPr>
          <w:p>
            <w:pPr>
              <w:spacing w:after="0"/>
              <w:jc w:val="right"/>
            </w:pPr>
            <w:r>
              <w:rPr>
                <w:b/>
                <w:color w:val="FFFFFF"/>
              </w:rPr>
              <w:t>Montant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0"/>
            </w:pPr>
            <w:r>
              <w:t>3.1 Honoraires du personnel clé</w:t>
            </w:r>
          </w:p>
        </w:tc>
        <w:tc>
          <w:tcPr>
            <w:tcW w:type="dxa" w:w="4933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0FDF4"/>
          </w:tcPr>
          <w:p>
            <w:pPr>
              <w:spacing w:after="0"/>
            </w:pPr>
            <w:r>
              <w:t>3.2 Formation et animation des bootcamps</w:t>
            </w:r>
          </w:p>
        </w:tc>
        <w:tc>
          <w:tcPr>
            <w:tcW w:type="dxa" w:w="4933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0"/>
            </w:pPr>
            <w:r>
              <w:t>3.3 Missions de terrain et déplacements</w:t>
            </w:r>
          </w:p>
        </w:tc>
        <w:tc>
          <w:tcPr>
            <w:tcW w:type="dxa" w:w="4933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4933"/>
            <w:shd w:val="clear" w:color="auto" w:fill="F0FDF4"/>
          </w:tcPr>
          <w:p>
            <w:pPr>
              <w:spacing w:after="0"/>
            </w:pPr>
            <w:r>
              <w:t>3.4 Logistique et matériel</w:t>
            </w:r>
          </w:p>
        </w:tc>
        <w:tc>
          <w:tcPr>
            <w:tcW w:type="dxa" w:w="4933"/>
            <w:shd w:val="clear" w:color="auto" w:fill="F0FDF4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4933"/>
          </w:tcPr>
          <w:p>
            <w:pPr>
              <w:spacing w:after="0"/>
            </w:pPr>
            <w:r>
              <w:t>3.5 Suivi, capitalisation et frais généraux</w:t>
            </w:r>
          </w:p>
        </w:tc>
        <w:tc>
          <w:tcPr>
            <w:tcW w:type="dxa" w:w="4933"/>
          </w:tcPr>
          <w:p>
            <w:pPr>
              <w:spacing w:after="0"/>
              <w:jc w:val="right"/>
            </w:pPr>
            <w:r>
              <w:t>(à compléter)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12" w:space="0" w:color="14532D"/>
            </w:tcBorders>
          </w:tcPr>
          <w:p>
            <w:pPr>
              <w:spacing w:after="0"/>
            </w:pPr>
            <w:r>
              <w:rPr>
                <w:b/>
              </w:rPr>
              <w:t>TOTAL GÉNÉRAL (hors taxes)</w:t>
            </w:r>
          </w:p>
        </w:tc>
        <w:tc>
          <w:tcPr>
            <w:tcW w:type="dxa" w:w="4933"/>
            <w:tcBorders>
              <w:top w:val="single" w:sz="12" w:space="0" w:color="14532D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>(à compléter)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12" w:space="0" w:color="14532D"/>
            </w:tcBorders>
          </w:tcPr>
          <w:p>
            <w:pPr>
              <w:spacing w:after="0"/>
            </w:pPr>
            <w:r>
              <w:rPr>
                <w:b/>
              </w:rPr>
              <w:t>TVA (à préciser)</w:t>
            </w:r>
          </w:p>
        </w:tc>
        <w:tc>
          <w:tcPr>
            <w:tcW w:type="dxa" w:w="4933"/>
            <w:tcBorders>
              <w:top w:val="single" w:sz="12" w:space="0" w:color="14532D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>(à compléter)</w:t>
            </w:r>
          </w:p>
        </w:tc>
      </w:tr>
      <w:tr>
        <w:trPr>
          <w:cantSplit/>
        </w:trPr>
        <w:tc>
          <w:tcPr>
            <w:tcW w:type="dxa" w:w="4933"/>
            <w:tcBorders>
              <w:top w:val="single" w:sz="12" w:space="0" w:color="14532D"/>
            </w:tcBorders>
          </w:tcPr>
          <w:p>
            <w:pPr>
              <w:spacing w:after="0"/>
            </w:pPr>
            <w:r>
              <w:rPr>
                <w:b/>
              </w:rPr>
              <w:t>TOTAL GÉNÉRAL (toutes taxes comprises)</w:t>
            </w:r>
          </w:p>
        </w:tc>
        <w:tc>
          <w:tcPr>
            <w:tcW w:type="dxa" w:w="4933"/>
            <w:tcBorders>
              <w:top w:val="single" w:sz="12" w:space="0" w:color="14532D"/>
            </w:tcBorders>
          </w:tcPr>
          <w:p>
            <w:pPr>
              <w:spacing w:after="0"/>
              <w:jc w:val="right"/>
            </w:pPr>
            <w:r>
              <w:rPr>
                <w:b/>
              </w:rPr>
              <w:t>(à compléter)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</w:pPr>
      <w:r>
        <w:t>5. Conditions et prérequis de prix</w:t>
      </w:r>
    </w:p>
    <w:p>
      <w:pPr>
        <w:pStyle w:val="ListBullet"/>
      </w:pPr>
      <w:r>
        <w:t>Les prix sont fermes et non révisables pendant la période de validité de l'offre ;</w:t>
      </w:r>
    </w:p>
    <w:p>
      <w:pPr>
        <w:pStyle w:val="ListBullet"/>
      </w:pPr>
      <w:r>
        <w:t>Le prestataire atteste de sa capacité à préfinancer jusqu'à 20 % de la proposition, conformément aux clauses impératives de l'appel ;</w:t>
      </w:r>
    </w:p>
    <w:p>
      <w:pPr>
        <w:pStyle w:val="ListBullet"/>
      </w:pPr>
      <w:r>
        <w:t>Les paiements sont effectués en tranches conditionnées par l'approbation des rapports par la FAO (30 / 20 / 30 / 20) ;</w:t>
      </w:r>
    </w:p>
    <w:p>
      <w:pPr>
        <w:pStyle w:val="ListBullet"/>
      </w:pPr>
      <w:r>
        <w:t>Le compte bancaire est détenu auprès d'une banque reconnue à Madagascar (coordonnées à fournir) ;</w:t>
      </w:r>
    </w:p>
    <w:p>
      <w:pPr>
        <w:pStyle w:val="ListBullet"/>
      </w:pPr>
      <w:r>
        <w:t>Toute révision du périmètre ou des objectifs de performance est soumise à l'approbation écrite de la FAO avant application, et peut donner lieu à un avenant financier.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0" w:type="dxa"/>
          <w:left w:w="160" w:type="dxa"/>
          <w:bottom w:w="100" w:type="dxa"/>
          <w:right w:w="160" w:type="dxa"/>
        </w:tblCellMar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tcBorders>
              <w:top w:val="nil"/>
              <w:left w:val="single" w:sz="24" w:space="0" w:color="16A34A"/>
              <w:bottom w:val="nil"/>
              <w:right w:val="nil"/>
            </w:tcBorders>
            <w:shd w:val="clear" w:color="auto" w:fill="ECFDF5"/>
          </w:tcPr>
          <w:p>
            <w:pPr>
              <w:spacing w:after="0"/>
            </w:pPr>
            <w:r>
              <w:rPr>
                <w:b/>
                <w:color w:val="14532D"/>
              </w:rPr>
              <w:t>Modalités de soumission.</w:t>
            </w:r>
            <w:r>
              <w:t xml:space="preserve"> La proposition financière est envoyée dans une enveloppe distincte de la partie technique, par courriel à MG-Procurement@fao.org et Menja.Razafindraibe@fao.org, avec en objet la mention : « RFP/2026/ULA/097 · Partenariat GCP/MAG/090/GFF : Incubation des entreprises vertes _LOT 2_Nom de l'entité ».</w:t>
            </w:r>
          </w:p>
        </w:tc>
      </w:tr>
    </w:tbl>
    <w:p>
      <w:pPr>
        <w:spacing w:before="0" w:after="0" w:line="120" w:lineRule="exact"/>
      </w:pPr>
    </w:p>
    <w:p>
      <w:pPr>
        <w:spacing w:before="560"/>
        <w:ind w:left="5426"/>
      </w:pPr>
      <w:r>
        <w:t>Fait à ............................, le ............................</w:t>
      </w:r>
    </w:p>
    <w:p>
      <w:pPr>
        <w:ind w:left="5426"/>
      </w:pPr>
      <w:r>
        <w:t>Nom et fonction du signataire autorisé : (à compléter)</w:t>
      </w:r>
    </w:p>
    <w:p>
      <w:pPr>
        <w:ind w:left="5426"/>
      </w:pPr>
      <w:r>
        <w:t>Signature et cachet : (à compléter)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020" w:bottom="1134" w:left="1020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PAGE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  <w:r>
      <w:rPr>
        <w:color w:val="6B7280"/>
        <w:sz w:val="16"/>
      </w:rPr>
      <w:t xml:space="preserve"> / </w:t>
    </w:r>
    <w:r>
      <w:rPr>
        <w:color w:val="6B7280"/>
        <w:sz w:val="16"/>
      </w:rPr>
      <w:fldChar w:fldCharType="begin"/>
    </w:r>
    <w:r>
      <w:rPr>
        <w:color w:val="6B7280"/>
        <w:sz w:val="16"/>
      </w:rPr>
      <w:instrText xml:space="preserve"> NUMPAGES </w:instrText>
    </w:r>
    <w:r>
      <w:rPr>
        <w:color w:val="6B7280"/>
        <w:sz w:val="16"/>
      </w:rPr>
      <w:fldChar w:fldCharType="separate"/>
    </w:r>
    <w:r>
      <w:rPr>
        <w:color w:val="6B7280"/>
        <w:sz w:val="16"/>
      </w:rPr>
      <w:t>1</w:t>
    </w:r>
    <w:r>
      <w:rPr>
        <w:color w:val="6B7280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E5E7EB"/>
      </w:pBdr>
    </w:pPr>
    <w:r>
      <w:rPr>
        <w:color w:val="6B7280"/>
        <w:sz w:val="16"/>
      </w:rPr>
      <w:t>Offre financière · Incubation des entreprises vertes · Lot 2 Bas Mangoky (PBM)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2" w:space="4" w:color="16A34A"/>
      </w:pBdr>
      <w:spacing w:before="360" w:after="160"/>
      <w:outlineLvl w:val="0"/>
    </w:pPr>
    <w:rPr>
      <w:rFonts w:ascii="Calibri" w:hAnsi="Calibri" w:eastAsia="Calibri" w:cs="Calibri"/>
      <w:b/>
      <w:bCs/>
      <w:i w:val="0"/>
      <w:color w:val="14532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Calibri" w:hAnsi="Calibri" w:eastAsia="Calibri" w:cs="Calibri"/>
      <w:b/>
      <w:bCs/>
      <w:i w:val="0"/>
      <w:color w:val="1453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eastAsia="Calibri" w:cs="Calibri"/>
      <w:b/>
      <w:bCs/>
      <w:i w:val="0"/>
      <w:color w:val="16A3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6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basedOn w:val="Normal"/>
    <w:pPr>
      <w:spacing w:after="200"/>
    </w:pPr>
    <w:rPr>
      <w:color w:val="6B7280"/>
      <w:sz w:val="24"/>
    </w:rPr>
  </w:style>
  <w:style w:type="paragraph" w:customStyle="1" w:styleId="Legende">
    <w:name w:val="Legende"/>
    <w:basedOn w:val="Normal"/>
    <w:pPr>
      <w:spacing w:after="160"/>
      <w:jc w:val="center"/>
    </w:pPr>
    <w:rPr>
      <w:i/>
      <w:color w:val="6B728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Offre financière · Incubation des entreprises vertes · Lot 2 Bas Mangoky (PBM)</dc:title>
  <dc:subject/>
  <dc:creator>CARSO — Centre d'Affaires de la Région Sud-Ouest</dc:creator>
  <cp:keywords/>
  <dc:description/>
  <cp:lastModifiedBy>CARSO — Centre d'Affaires de la Région Sud-Ouest</cp:lastModifiedBy>
  <cp:revision>1</cp:revision>
  <dcterms:created xsi:type="dcterms:W3CDTF">2026-10-11T10:57:01Z</dcterms:created>
  <dcterms:modified xsi:type="dcterms:W3CDTF">2026-10-11T10:57:01Z</dcterms:modified>
  <cp:category/>
</cp:coreProperties>
</file>