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Démonstration des graphiques</w:t>
      </w:r>
    </w:p>
    <w:p>
      <w:pPr>
        <w:pStyle w:val="Lead"/>
      </w:pPr>
      <w:r>
        <w:t>Quatre familles, un même moteur, aucune dépendance lourde.</w:t>
      </w:r>
    </w:p>
    <w:p>
      <w:pPr>
        <w:pStyle w:val="Heading2"/>
      </w:pPr>
      <w:r>
        <w:t>1. Barres groupées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4000" cy="391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39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egende"/>
      </w:pPr>
      <w:r>
        <w:t>Figure 1 – Évolution du chiffre d'affaires</w:t>
      </w:r>
    </w:p>
    <w:tbl>
      <w:tblPr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100" w:type="dxa"/>
          <w:left w:w="160" w:type="dxa"/>
          <w:bottom w:w="100" w:type="dxa"/>
          <w:right w:w="160" w:type="dxa"/>
        </w:tblCellMar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tcBorders>
              <w:top w:val="nil"/>
              <w:left w:val="single" w:sz="24" w:space="0" w:color="059669"/>
              <w:bottom w:val="nil"/>
              <w:right w:val="nil"/>
            </w:tcBorders>
            <w:shd w:val="clear" w:color="auto" w:fill="ECFDF5"/>
          </w:tcPr>
          <w:p>
            <w:pPr>
              <w:spacing w:after="0"/>
            </w:pPr>
            <w:r>
              <w:rPr>
                <w:b/>
                <w:color w:val="1E3A5F"/>
              </w:rPr>
              <w:t>Lecture :</w:t>
            </w:r>
            <w:r>
              <w:t xml:space="preserve"> le T4 2026 dépasse de 30 % le T4 2025.</w:t>
            </w:r>
          </w:p>
        </w:tc>
      </w:tr>
    </w:tbl>
    <w:p>
      <w:pPr>
        <w:spacing w:before="0" w:after="0" w:line="120" w:lineRule="exact"/>
      </w:pPr>
    </w:p>
    <w:p>
      <w:pPr>
        <w:pStyle w:val="Heading2"/>
      </w:pPr>
      <w:r>
        <w:t>2. Courbes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4000" cy="391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39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egende"/>
      </w:pPr>
      <w:r>
        <w:t>Figure 2 – Cumul des bénéficiaires formés</w:t>
      </w:r>
    </w:p>
    <w:p>
      <w:pPr>
        <w:pStyle w:val="Heading2"/>
      </w:pPr>
      <w:r>
        <w:t>3. Camembert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4000" cy="391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39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egende"/>
      </w:pPr>
      <w:r>
        <w:t>Figure 3 – Répartition par type d'intervention</w:t>
      </w:r>
    </w:p>
    <w:p>
      <w:pPr>
        <w:pStyle w:val="Heading2"/>
      </w:pPr>
      <w:r>
        <w:t>4. Anneau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4000" cy="3915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39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egende"/>
      </w:pPr>
      <w:r>
        <w:t>Figure 4 – Ventilation du budget par lot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020" w:bottom="1134" w:left="1020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B7280"/>
        <w:sz w:val="16"/>
      </w:rPr>
      <w:fldChar w:fldCharType="begin"/>
    </w:r>
    <w:r>
      <w:rPr>
        <w:color w:val="6B7280"/>
        <w:sz w:val="16"/>
      </w:rPr>
      <w:instrText xml:space="preserve"> PAGE </w:instrText>
    </w:r>
    <w:r>
      <w:rPr>
        <w:color w:val="6B7280"/>
        <w:sz w:val="16"/>
      </w:rPr>
      <w:fldChar w:fldCharType="separate"/>
    </w:r>
    <w:r>
      <w:rPr>
        <w:color w:val="6B7280"/>
        <w:sz w:val="16"/>
      </w:rPr>
      <w:t>1</w:t>
    </w:r>
    <w:r>
      <w:rPr>
        <w:color w:val="6B7280"/>
        <w:sz w:val="16"/>
      </w:rPr>
      <w:fldChar w:fldCharType="end"/>
    </w:r>
    <w:r>
      <w:rPr>
        <w:color w:val="6B7280"/>
        <w:sz w:val="16"/>
      </w:rPr>
      <w:t xml:space="preserve"> / </w:t>
    </w:r>
    <w:r>
      <w:rPr>
        <w:color w:val="6B7280"/>
        <w:sz w:val="16"/>
      </w:rPr>
      <w:fldChar w:fldCharType="begin"/>
    </w:r>
    <w:r>
      <w:rPr>
        <w:color w:val="6B7280"/>
        <w:sz w:val="16"/>
      </w:rPr>
      <w:instrText xml:space="preserve"> NUMPAGES </w:instrText>
    </w:r>
    <w:r>
      <w:rPr>
        <w:color w:val="6B7280"/>
        <w:sz w:val="16"/>
      </w:rPr>
      <w:fldChar w:fldCharType="separate"/>
    </w:r>
    <w:r>
      <w:rPr>
        <w:color w:val="6B7280"/>
        <w:sz w:val="16"/>
      </w:rPr>
      <w:t>1</w:t>
    </w:r>
    <w:r>
      <w:rPr>
        <w:color w:val="6B7280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4" w:color="E5E7EB"/>
      </w:pBdr>
    </w:pPr>
    <w:r>
      <w:rPr>
        <w:color w:val="6B7280"/>
        <w:sz w:val="16"/>
      </w:rPr>
      <w:t>Démonstration des graphiques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 w:cs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Bdr>
        <w:bottom w:val="single" w:sz="12" w:space="4" w:color="2563EB"/>
      </w:pBdr>
      <w:spacing w:before="360" w:after="160"/>
      <w:outlineLvl w:val="0"/>
    </w:pPr>
    <w:rPr>
      <w:rFonts w:ascii="Calibri" w:hAnsi="Calibri" w:eastAsia="Calibri" w:cs="Calibri"/>
      <w:b/>
      <w:bCs/>
      <w:i w:val="0"/>
      <w:color w:val="1E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="Calibri" w:hAnsi="Calibri" w:eastAsia="Calibri" w:cs="Calibri"/>
      <w:b/>
      <w:bCs/>
      <w:i w:val="0"/>
      <w:color w:val="1E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Calibri" w:hAnsi="Calibri" w:eastAsia="Calibri" w:cs="Calibri"/>
      <w:b/>
      <w:bCs/>
      <w:i w:val="0"/>
      <w:color w:val="2563E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6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6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basedOn w:val="Normal"/>
    <w:pPr>
      <w:spacing w:after="200"/>
    </w:pPr>
    <w:rPr>
      <w:color w:val="6B7280"/>
      <w:sz w:val="24"/>
    </w:rPr>
  </w:style>
  <w:style w:type="paragraph" w:customStyle="1" w:styleId="Legende">
    <w:name w:val="Legende"/>
    <w:basedOn w:val="Normal"/>
    <w:pPr>
      <w:spacing w:after="160"/>
      <w:jc w:val="center"/>
    </w:pPr>
    <w:rPr>
      <w:i/>
      <w:color w:val="6B728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Démonstration des graphiques</dc:title>
  <dc:subject/>
  <dc:creator/>
  <cp:keywords/>
  <dc:description/>
  <cp:lastModifiedBy/>
  <cp:revision>1</cp:revision>
  <dcterms:created xsi:type="dcterms:W3CDTF">2026-10-15T18:14:12Z</dcterms:created>
  <dcterms:modified xsi:type="dcterms:W3CDTF">2026-10-15T18:14:12Z</dcterms:modified>
  <cp:category/>
</cp:coreProperties>
</file>