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4532D"/>
            <w:tcMar>
              <w:top w:w="0" w:type="dxa"/>
              <w:left w:w="800" w:type="dxa"/>
              <w:bottom w:w="0" w:type="dxa"/>
              <w:right w:w="800" w:type="dxa"/>
            </w:tcMar>
            <w:vAlign w:val="top"/>
          </w:tcPr>
          <w:p>
            <w:pPr>
              <w:spacing w:before="2806" w:after="200"/>
            </w:pPr>
            <w:r>
              <w:rPr>
                <w:b/>
                <w:color w:val="FFFFFF"/>
                <w:sz w:val="18"/>
              </w:rPr>
              <w:t>RÉPONSE À L'APPEL À PROPOSITION RFP/2026/ULA/097 — TEFIALA GEF-7 — APPENDICE B : BUDGET</w:t>
            </w:r>
          </w:p>
          <w:p>
            <w:pPr>
              <w:spacing w:after="240" w:line="240" w:lineRule="auto"/>
            </w:pPr>
            <w:r>
              <w:rPr>
                <w:b/>
                <w:color w:val="FFFFFF"/>
                <w:sz w:val="64"/>
              </w:rPr>
              <w:t>Offre Financière</w:t>
            </w:r>
          </w:p>
          <w:p>
            <w:r>
              <w:rPr>
                <w:color w:val="FFFFFF"/>
                <w:sz w:val="28"/>
              </w:rPr>
              <w:t>Incubation des entreprises vertes — Lot 3 : Région Haute Matsiatra, Paysage Volanony-Matsiatra (PVM), District de Vohibato, Communes d'Ihazoara, Andranomiditra, Vohitrafeno et Vinanitelo</w:t>
            </w:r>
          </w:p>
          <w:p>
            <w:pPr>
              <w:pBdr>
                <w:top w:val="single" w:sz="4" w:space="6" w:color="FFFFFF"/>
              </w:pBdr>
              <w:spacing w:before="3827"/>
            </w:pPr>
            <w:r>
              <w:rPr>
                <w:color w:val="FFFFFF"/>
                <w:sz w:val="20"/>
              </w:rPr>
              <w:t>Soumissionnaire : CARSO — Centre d'Affaires de la Région Sud-Ouest (GIE)</w:t>
            </w:r>
            <w:r>
              <w:rPr>
                <w:color w:val="FFFFFF"/>
                <w:sz w:val="20"/>
              </w:rPr>
              <w:t xml:space="preserve"> </w:t>
            </w:r>
            <w:r>
              <w:br/>
            </w:r>
            <w:r>
              <w:rPr>
                <w:color w:val="FFFFFF"/>
                <w:sz w:val="20"/>
              </w:rPr>
              <w:t>Client : FAO — Organisation des Nations Unies pour l'alimentation et l'agriculture</w:t>
            </w:r>
            <w:r>
              <w:rPr>
                <w:color w:val="FFFFFF"/>
                <w:sz w:val="20"/>
              </w:rPr>
              <w:t xml:space="preserve"> </w:t>
            </w:r>
            <w:r>
              <w:br/>
            </w:r>
            <w:r>
              <w:rPr>
                <w:color w:val="FFFFFF"/>
                <w:sz w:val="20"/>
              </w:rPr>
              <w:t>Référence de l'offre : OFFRE-FIN-LLot 3 — Devise : Ariary (MGA)</w:t>
            </w:r>
            <w:r>
              <w:rPr>
                <w:color w:val="FFFFFF"/>
                <w:sz w:val="20"/>
              </w:rPr>
              <w:t xml:space="preserve"> </w:t>
            </w:r>
            <w:r>
              <w:br/>
            </w:r>
            <w:r>
              <w:rPr>
                <w:color w:val="FFFFFF"/>
                <w:sz w:val="20"/>
              </w:rPr>
              <w:t>Date limite de soumission : 31 octobre 2026</w:t>
            </w:r>
            <w:r>
              <w:rPr>
                <w:color w:val="FFFFFF"/>
                <w:sz w:val="20"/>
              </w:rPr>
              <w:t xml:space="preserve"> </w:t>
            </w:r>
          </w:p>
        </w:tc>
      </w:tr>
    </w:tbl>
    <w:p>
      <w:r>
        <w:br w:type="page"/>
      </w:r>
    </w:p>
    <w:p>
      <w:pPr>
        <w:spacing w:after="200"/>
      </w:pPr>
      <w:r>
        <w:rPr>
          <w:b/>
          <w:color w:val="14532D"/>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Lead"/>
      </w:pPr>
      <w:r>
        <w:t>La présente offre financière présente l'estimation des coûts du programme d'incubation du Lot 3, ventilée par catégorie de dépenses selon le modèle de l'Appendice B des termes de référence, avec pour chaque ligne une unité de mesure, une quantité et un coût unitaire.</w:t>
      </w:r>
    </w:p>
    <w:p>
      <w:pPr>
        <w:pStyle w:val="Heading2"/>
      </w:pPr>
      <w:r>
        <w:t>1. Objet et périmètre du budget</w:t>
      </w:r>
    </w:p>
    <w:p>
      <w:r>
        <w:t>Le présent budget couvre l'ensemble des coûts nécessaires à la fourniture des services du Lot 3 et à la mise en œuvre du protocole d'accord : organisation et mise en œuvre du programme d'incubation des OP et de leurs membres du paysage Volanony-Matsiatra (20 OP, 45 incubés), sur une période de 10 mois maximum à compter de la signature du contrat. Il comprend les ressources humaines (125 jours-homme), les équipements et fournitures, les voyages et déplacements dans les quatre communes, l'hébergement et la restauration, les frais généraux, ainsi que les activités de mentoring, de mise en réseau et de participation aux foires.</w:t>
      </w:r>
    </w:p>
    <w:p>
      <w:pPr>
        <w:pStyle w:val="Heading2"/>
      </w:pPr>
      <w:r>
        <w:t>2. Hypothèses financières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Hypothèse</w:t>
            </w:r>
          </w:p>
        </w:tc>
        <w:tc>
          <w:tcPr>
            <w:tcW w:type="dxa" w:w="4933"/>
            <w:shd w:val="clear" w:color="auto" w:fill="14532D"/>
          </w:tcPr>
          <w:p>
            <w:pPr>
              <w:spacing w:after="0"/>
            </w:pPr>
            <w:r>
              <w:rPr>
                <w:b/>
                <w:color w:val="FFFFFF"/>
              </w:rPr>
              <w:t>Source / valeur retenue</w:t>
            </w:r>
          </w:p>
        </w:tc>
      </w:tr>
      <w:tr>
        <w:trPr>
          <w:cantSplit/>
        </w:trPr>
        <w:tc>
          <w:tcPr>
            <w:tcW w:type="dxa" w:w="4933"/>
          </w:tcPr>
          <w:p>
            <w:pPr>
              <w:spacing w:after="0"/>
            </w:pPr>
            <w:r>
              <w:t>Durée du programme</w:t>
            </w:r>
          </w:p>
        </w:tc>
        <w:tc>
          <w:tcPr>
            <w:tcW w:type="dxa" w:w="4933"/>
          </w:tcPr>
          <w:p>
            <w:pPr>
              <w:spacing w:after="0"/>
            </w:pPr>
            <w:r>
              <w:t>10 mois maximum à partir de la signature du contrat (TDR)</w:t>
            </w:r>
          </w:p>
        </w:tc>
      </w:tr>
      <w:tr>
        <w:trPr>
          <w:cantSplit/>
        </w:trPr>
        <w:tc>
          <w:tcPr>
            <w:tcW w:type="dxa" w:w="4933"/>
            <w:shd w:val="clear" w:color="auto" w:fill="F0FDF4"/>
          </w:tcPr>
          <w:p>
            <w:pPr>
              <w:spacing w:after="0"/>
            </w:pPr>
            <w:r>
              <w:t>Format des formations</w:t>
            </w:r>
          </w:p>
        </w:tc>
        <w:tc>
          <w:tcPr>
            <w:tcW w:type="dxa" w:w="4933"/>
            <w:shd w:val="clear" w:color="auto" w:fill="F0FDF4"/>
          </w:tcPr>
          <w:p>
            <w:pPr>
              <w:spacing w:after="0"/>
            </w:pPr>
            <w:r>
              <w:t>5 bootcamps de 3 jours chacun (5 jours par session avec déplacements), dans les 4 communes (TDR)</w:t>
            </w:r>
          </w:p>
        </w:tc>
      </w:tr>
      <w:tr>
        <w:trPr>
          <w:cantSplit/>
        </w:trPr>
        <w:tc>
          <w:tcPr>
            <w:tcW w:type="dxa" w:w="4933"/>
          </w:tcPr>
          <w:p>
            <w:pPr>
              <w:spacing w:after="0"/>
            </w:pPr>
            <w:r>
              <w:t>Bénéficiaires directs</w:t>
            </w:r>
          </w:p>
        </w:tc>
        <w:tc>
          <w:tcPr>
            <w:tcW w:type="dxa" w:w="4933"/>
          </w:tcPr>
          <w:p>
            <w:pPr>
              <w:spacing w:after="0"/>
            </w:pPr>
            <w:r>
              <w:t>45 incubés issus de 20 OP ; 90 entrepreneurs verts ciblés au préalable (TDR)</w:t>
            </w:r>
          </w:p>
        </w:tc>
      </w:tr>
      <w:tr>
        <w:trPr>
          <w:cantSplit/>
        </w:trPr>
        <w:tc>
          <w:tcPr>
            <w:tcW w:type="dxa" w:w="4933"/>
            <w:shd w:val="clear" w:color="auto" w:fill="F0FDF4"/>
          </w:tcPr>
          <w:p>
            <w:pPr>
              <w:spacing w:after="0"/>
            </w:pPr>
            <w:r>
              <w:t>Charge d'équipe</w:t>
            </w:r>
          </w:p>
        </w:tc>
        <w:tc>
          <w:tcPr>
            <w:tcW w:type="dxa" w:w="4933"/>
            <w:shd w:val="clear" w:color="auto" w:fill="F0FDF4"/>
          </w:tcPr>
          <w:p>
            <w:pPr>
              <w:spacing w:after="0"/>
            </w:pPr>
            <w:r>
              <w:t>125 jours-homme : chef de mission 50 HJ, formateur principal 20 HJ, formateur accompagnateur 20 HJ, assistant administratif et logistique 35 HJ (TDR)</w:t>
            </w:r>
          </w:p>
        </w:tc>
      </w:tr>
      <w:tr>
        <w:trPr>
          <w:cantSplit/>
        </w:trPr>
        <w:tc>
          <w:tcPr>
            <w:tcW w:type="dxa" w:w="4933"/>
          </w:tcPr>
          <w:p>
            <w:pPr>
              <w:spacing w:after="0"/>
            </w:pPr>
            <w:r>
              <w:t>Taux journalier chef de mission</w:t>
            </w:r>
          </w:p>
        </w:tc>
        <w:tc>
          <w:tcPr>
            <w:tcW w:type="dxa" w:w="4933"/>
          </w:tcPr>
          <w:p>
            <w:pPr>
              <w:spacing w:after="0"/>
            </w:pPr>
            <w:r>
              <w:t>350 000 Ar (proposition CARSO, ajustable)</w:t>
            </w:r>
          </w:p>
        </w:tc>
      </w:tr>
      <w:tr>
        <w:trPr>
          <w:cantSplit/>
        </w:trPr>
        <w:tc>
          <w:tcPr>
            <w:tcW w:type="dxa" w:w="4933"/>
            <w:shd w:val="clear" w:color="auto" w:fill="F0FDF4"/>
          </w:tcPr>
          <w:p>
            <w:pPr>
              <w:spacing w:after="0"/>
            </w:pPr>
            <w:r>
              <w:t>Taux journalier formateurs</w:t>
            </w:r>
          </w:p>
        </w:tc>
        <w:tc>
          <w:tcPr>
            <w:tcW w:type="dxa" w:w="4933"/>
            <w:shd w:val="clear" w:color="auto" w:fill="F0FDF4"/>
          </w:tcPr>
          <w:p>
            <w:pPr>
              <w:spacing w:after="0"/>
            </w:pPr>
            <w:r>
              <w:t>250 000 Ar (proposition CARSO, ajustable)</w:t>
            </w:r>
          </w:p>
        </w:tc>
      </w:tr>
      <w:tr>
        <w:trPr>
          <w:cantSplit/>
        </w:trPr>
        <w:tc>
          <w:tcPr>
            <w:tcW w:type="dxa" w:w="4933"/>
          </w:tcPr>
          <w:p>
            <w:pPr>
              <w:spacing w:after="0"/>
            </w:pPr>
            <w:r>
              <w:t>Taux journalier assistant administratif et logistique</w:t>
            </w:r>
          </w:p>
        </w:tc>
        <w:tc>
          <w:tcPr>
            <w:tcW w:type="dxa" w:w="4933"/>
          </w:tcPr>
          <w:p>
            <w:pPr>
              <w:spacing w:after="0"/>
            </w:pPr>
            <w:r>
              <w:t>150 000 Ar (proposition CARSO, ajustable)</w:t>
            </w:r>
          </w:p>
        </w:tc>
      </w:tr>
      <w:tr>
        <w:trPr>
          <w:cantSplit/>
        </w:trPr>
        <w:tc>
          <w:tcPr>
            <w:tcW w:type="dxa" w:w="4933"/>
            <w:shd w:val="clear" w:color="auto" w:fill="F0FDF4"/>
          </w:tcPr>
          <w:p>
            <w:pPr>
              <w:spacing w:after="0"/>
            </w:pPr>
            <w:r>
              <w:t>Location de véhicule 4x4 avec chauffeur</w:t>
            </w:r>
          </w:p>
        </w:tc>
        <w:tc>
          <w:tcPr>
            <w:tcW w:type="dxa" w:w="4933"/>
            <w:shd w:val="clear" w:color="auto" w:fill="F0FDF4"/>
          </w:tcPr>
          <w:p>
            <w:pPr>
              <w:spacing w:after="0"/>
            </w:pPr>
            <w:r>
              <w:t>250 000 Ar/jour (proposition CARSO, ajustable)</w:t>
            </w:r>
          </w:p>
        </w:tc>
      </w:tr>
      <w:tr>
        <w:trPr>
          <w:cantSplit/>
        </w:trPr>
        <w:tc>
          <w:tcPr>
            <w:tcW w:type="dxa" w:w="4933"/>
          </w:tcPr>
          <w:p>
            <w:pPr>
              <w:spacing w:after="0"/>
            </w:pPr>
            <w:r>
              <w:t>Hébergement équipe en mission</w:t>
            </w:r>
          </w:p>
        </w:tc>
        <w:tc>
          <w:tcPr>
            <w:tcW w:type="dxa" w:w="4933"/>
          </w:tcPr>
          <w:p>
            <w:pPr>
              <w:spacing w:after="0"/>
            </w:pPr>
            <w:r>
              <w:t>50 000 Ar/nuitée (proposition CARSO, ajustable)</w:t>
            </w:r>
          </w:p>
        </w:tc>
      </w:tr>
      <w:tr>
        <w:trPr>
          <w:cantSplit/>
        </w:trPr>
        <w:tc>
          <w:tcPr>
            <w:tcW w:type="dxa" w:w="4933"/>
            <w:shd w:val="clear" w:color="auto" w:fill="F0FDF4"/>
          </w:tcPr>
          <w:p>
            <w:pPr>
              <w:spacing w:after="0"/>
            </w:pPr>
            <w:r>
              <w:t>Restauration et indemnités équipe en mission</w:t>
            </w:r>
          </w:p>
        </w:tc>
        <w:tc>
          <w:tcPr>
            <w:tcW w:type="dxa" w:w="4933"/>
            <w:shd w:val="clear" w:color="auto" w:fill="F0FDF4"/>
          </w:tcPr>
          <w:p>
            <w:pPr>
              <w:spacing w:after="0"/>
            </w:pPr>
            <w:r>
              <w:t>60 000 Ar/jour-personne (proposition CARSO, ajustable)</w:t>
            </w:r>
          </w:p>
        </w:tc>
      </w:tr>
      <w:tr>
        <w:trPr>
          <w:cantSplit/>
        </w:trPr>
        <w:tc>
          <w:tcPr>
            <w:tcW w:type="dxa" w:w="4933"/>
          </w:tcPr>
          <w:p>
            <w:pPr>
              <w:spacing w:after="0"/>
            </w:pPr>
            <w:r>
              <w:t>Restauration des incubés pendant les bootcamps</w:t>
            </w:r>
          </w:p>
        </w:tc>
        <w:tc>
          <w:tcPr>
            <w:tcW w:type="dxa" w:w="4933"/>
          </w:tcPr>
          <w:p>
            <w:pPr>
              <w:spacing w:after="0"/>
            </w:pPr>
            <w:r>
              <w:t>20 000 Ar/jour-personne (proposition CARSO — à confirmer avec la FAO si prise en charge par le projet)</w:t>
            </w:r>
          </w:p>
        </w:tc>
      </w:tr>
      <w:tr>
        <w:trPr>
          <w:cantSplit/>
        </w:trPr>
        <w:tc>
          <w:tcPr>
            <w:tcW w:type="dxa" w:w="4933"/>
            <w:shd w:val="clear" w:color="auto" w:fill="F0FDF4"/>
          </w:tcPr>
          <w:p>
            <w:pPr>
              <w:spacing w:after="0"/>
            </w:pPr>
            <w:r>
              <w:t>Devise</w:t>
            </w:r>
          </w:p>
        </w:tc>
        <w:tc>
          <w:tcPr>
            <w:tcW w:type="dxa" w:w="4933"/>
            <w:shd w:val="clear" w:color="auto" w:fill="F0FDF4"/>
          </w:tcPr>
          <w:p>
            <w:pPr>
              <w:spacing w:after="0"/>
            </w:pPr>
            <w:r>
              <w:t>Ariary (MGA)</w:t>
            </w:r>
          </w:p>
        </w:tc>
      </w:tr>
      <w:tr>
        <w:trPr>
          <w:cantSplit/>
        </w:trPr>
        <w:tc>
          <w:tcPr>
            <w:tcW w:type="dxa" w:w="4933"/>
          </w:tcPr>
          <w:p>
            <w:pPr>
              <w:spacing w:after="0"/>
            </w:pPr>
            <w:r>
              <w:t>Fiscalité applicable</w:t>
            </w:r>
          </w:p>
        </w:tc>
        <w:tc>
          <w:tcPr>
            <w:tcW w:type="dxa" w:w="4933"/>
          </w:tcPr>
          <w:p>
            <w:pPr>
              <w:spacing w:after="0"/>
            </w:pPr>
            <w:r>
              <w:t>(à compléter — régime fiscal du prestataire et traitement des taxes à préciser)</w:t>
            </w:r>
          </w:p>
        </w:tc>
      </w:tr>
    </w:tbl>
    <w:p>
      <w:pPr>
        <w:spacing w:before="0" w:after="0" w:line="120" w:lineRule="exact"/>
      </w:pPr>
    </w:p>
    <w:p>
      <w:pPr>
        <w:pStyle w:val="Heading2"/>
      </w:pPr>
      <w:r>
        <w:t>3. Budget détaillé par catégorie (Appendice B)</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1644"/>
        <w:gridCol w:w="1644"/>
        <w:gridCol w:w="1644"/>
        <w:gridCol w:w="1644"/>
        <w:gridCol w:w="1644"/>
        <w:gridCol w:w="1644"/>
      </w:tblGrid>
      <w:tr>
        <w:trPr>
          <w:cantSplit/>
          <w:tblHeader/>
        </w:trPr>
        <w:tc>
          <w:tcPr>
            <w:tcW w:type="dxa" w:w="1644"/>
            <w:shd w:val="clear" w:color="auto" w:fill="14532D"/>
          </w:tcPr>
          <w:p>
            <w:pPr>
              <w:spacing w:after="0"/>
            </w:pPr>
            <w:r>
              <w:rPr>
                <w:b/>
                <w:color w:val="FFFFFF"/>
              </w:rPr>
              <w:t>N°</w:t>
            </w:r>
          </w:p>
        </w:tc>
        <w:tc>
          <w:tcPr>
            <w:tcW w:type="dxa" w:w="1644"/>
            <w:shd w:val="clear" w:color="auto" w:fill="14532D"/>
          </w:tcPr>
          <w:p>
            <w:pPr>
              <w:spacing w:after="0"/>
            </w:pPr>
            <w:r>
              <w:rPr>
                <w:b/>
                <w:color w:val="FFFFFF"/>
              </w:rPr>
              <w:t>Description des lignes budgétaires</w:t>
            </w:r>
          </w:p>
        </w:tc>
        <w:tc>
          <w:tcPr>
            <w:tcW w:type="dxa" w:w="1644"/>
            <w:shd w:val="clear" w:color="auto" w:fill="14532D"/>
          </w:tcPr>
          <w:p>
            <w:pPr>
              <w:spacing w:after="0"/>
            </w:pPr>
            <w:r>
              <w:rPr>
                <w:b/>
                <w:color w:val="FFFFFF"/>
              </w:rPr>
              <w:t>Unité</w:t>
            </w:r>
          </w:p>
        </w:tc>
        <w:tc>
          <w:tcPr>
            <w:tcW w:type="dxa" w:w="1644"/>
            <w:shd w:val="clear" w:color="auto" w:fill="14532D"/>
          </w:tcPr>
          <w:p>
            <w:pPr>
              <w:spacing w:after="0"/>
              <w:jc w:val="right"/>
            </w:pPr>
            <w:r>
              <w:rPr>
                <w:b/>
                <w:color w:val="FFFFFF"/>
              </w:rPr>
              <w:t>Qté</w:t>
            </w:r>
          </w:p>
        </w:tc>
        <w:tc>
          <w:tcPr>
            <w:tcW w:type="dxa" w:w="1644"/>
            <w:shd w:val="clear" w:color="auto" w:fill="14532D"/>
          </w:tcPr>
          <w:p>
            <w:pPr>
              <w:spacing w:after="0"/>
              <w:jc w:val="right"/>
            </w:pPr>
            <w:r>
              <w:rPr>
                <w:b/>
                <w:color w:val="FFFFFF"/>
              </w:rPr>
              <w:t>Coût unitaire (Ar)</w:t>
            </w:r>
          </w:p>
        </w:tc>
        <w:tc>
          <w:tcPr>
            <w:tcW w:type="dxa" w:w="1644"/>
            <w:shd w:val="clear" w:color="auto" w:fill="14532D"/>
          </w:tcPr>
          <w:p>
            <w:pPr>
              <w:spacing w:after="0"/>
              <w:jc w:val="right"/>
            </w:pPr>
            <w:r>
              <w:rPr>
                <w:b/>
                <w:color w:val="FFFFFF"/>
              </w:rPr>
              <w:t>Coût total (Ar)</w:t>
            </w:r>
          </w:p>
        </w:tc>
      </w:tr>
      <w:tr>
        <w:trPr>
          <w:cantSplit/>
        </w:trPr>
        <w:tc>
          <w:tcPr>
            <w:tcW w:type="dxa" w:w="9864"/>
            <w:gridSpan w:val="6"/>
          </w:tcPr>
          <w:p>
            <w:pPr>
              <w:spacing w:after="0"/>
            </w:pPr>
            <w:r>
              <w:rPr>
                <w:b/>
                <w:color w:val="14532D"/>
              </w:rPr>
              <w:t>1. RESSOURCES HUMAINES (temps du personnel et consultants)</w:t>
            </w:r>
          </w:p>
        </w:tc>
      </w:tr>
      <w:tr>
        <w:trPr>
          <w:cantSplit/>
        </w:trPr>
        <w:tc>
          <w:tcPr>
            <w:tcW w:type="dxa" w:w="1644"/>
            <w:shd w:val="clear" w:color="auto" w:fill="F0FDF4"/>
          </w:tcPr>
          <w:p>
            <w:pPr>
              <w:spacing w:after="0"/>
            </w:pPr>
            <w:r>
              <w:t>1.1</w:t>
            </w:r>
          </w:p>
        </w:tc>
        <w:tc>
          <w:tcPr>
            <w:tcW w:type="dxa" w:w="1644"/>
            <w:shd w:val="clear" w:color="auto" w:fill="F0FDF4"/>
          </w:tcPr>
          <w:p>
            <w:pPr>
              <w:spacing w:after="0"/>
            </w:pPr>
            <w:r>
              <w:t>Chef de mission : interlocuteur principal FAO/UGP, management de l'équipe, suivi du programme, reporting</w:t>
            </w:r>
          </w:p>
        </w:tc>
        <w:tc>
          <w:tcPr>
            <w:tcW w:type="dxa" w:w="1644"/>
            <w:shd w:val="clear" w:color="auto" w:fill="F0FDF4"/>
          </w:tcPr>
          <w:p>
            <w:pPr>
              <w:spacing w:after="0"/>
            </w:pPr>
            <w:r>
              <w:t>jour-homme</w:t>
            </w:r>
          </w:p>
        </w:tc>
        <w:tc>
          <w:tcPr>
            <w:tcW w:type="dxa" w:w="1644"/>
            <w:shd w:val="clear" w:color="auto" w:fill="F0FDF4"/>
          </w:tcPr>
          <w:p>
            <w:pPr>
              <w:spacing w:after="0"/>
              <w:jc w:val="right"/>
            </w:pPr>
            <w:r>
              <w:t>50</w:t>
            </w:r>
          </w:p>
        </w:tc>
        <w:tc>
          <w:tcPr>
            <w:tcW w:type="dxa" w:w="1644"/>
            <w:shd w:val="clear" w:color="auto" w:fill="F0FDF4"/>
          </w:tcPr>
          <w:p>
            <w:pPr>
              <w:spacing w:after="0"/>
              <w:jc w:val="right"/>
            </w:pPr>
            <w:r>
              <w:t>350 000</w:t>
            </w:r>
          </w:p>
        </w:tc>
        <w:tc>
          <w:tcPr>
            <w:tcW w:type="dxa" w:w="1644"/>
            <w:shd w:val="clear" w:color="auto" w:fill="F0FDF4"/>
          </w:tcPr>
          <w:p>
            <w:pPr>
              <w:spacing w:after="0"/>
              <w:jc w:val="right"/>
            </w:pPr>
            <w:r>
              <w:t>17 500 000</w:t>
            </w:r>
          </w:p>
        </w:tc>
      </w:tr>
      <w:tr>
        <w:trPr>
          <w:cantSplit/>
        </w:trPr>
        <w:tc>
          <w:tcPr>
            <w:tcW w:type="dxa" w:w="1644"/>
          </w:tcPr>
          <w:p>
            <w:pPr>
              <w:spacing w:after="0"/>
            </w:pPr>
            <w:r>
              <w:t>1.2</w:t>
            </w:r>
          </w:p>
        </w:tc>
        <w:tc>
          <w:tcPr>
            <w:tcW w:type="dxa" w:w="1644"/>
          </w:tcPr>
          <w:p>
            <w:pPr>
              <w:spacing w:after="0"/>
            </w:pPr>
            <w:r>
              <w:t>Formateur principal : conduite des bootcamps, coaching des incubés</w:t>
            </w:r>
          </w:p>
        </w:tc>
        <w:tc>
          <w:tcPr>
            <w:tcW w:type="dxa" w:w="1644"/>
          </w:tcPr>
          <w:p>
            <w:pPr>
              <w:spacing w:after="0"/>
            </w:pPr>
            <w:r>
              <w:t>jour-homme</w:t>
            </w:r>
          </w:p>
        </w:tc>
        <w:tc>
          <w:tcPr>
            <w:tcW w:type="dxa" w:w="1644"/>
          </w:tcPr>
          <w:p>
            <w:pPr>
              <w:spacing w:after="0"/>
              <w:jc w:val="right"/>
            </w:pPr>
            <w:r>
              <w:t>20</w:t>
            </w:r>
          </w:p>
        </w:tc>
        <w:tc>
          <w:tcPr>
            <w:tcW w:type="dxa" w:w="1644"/>
          </w:tcPr>
          <w:p>
            <w:pPr>
              <w:spacing w:after="0"/>
              <w:jc w:val="right"/>
            </w:pPr>
            <w:r>
              <w:t>250 000</w:t>
            </w:r>
          </w:p>
        </w:tc>
        <w:tc>
          <w:tcPr>
            <w:tcW w:type="dxa" w:w="1644"/>
          </w:tcPr>
          <w:p>
            <w:pPr>
              <w:spacing w:after="0"/>
              <w:jc w:val="right"/>
            </w:pPr>
            <w:r>
              <w:t>5 000 000</w:t>
            </w:r>
          </w:p>
        </w:tc>
      </w:tr>
      <w:tr>
        <w:trPr>
          <w:cantSplit/>
        </w:trPr>
        <w:tc>
          <w:tcPr>
            <w:tcW w:type="dxa" w:w="1644"/>
            <w:shd w:val="clear" w:color="auto" w:fill="F0FDF4"/>
          </w:tcPr>
          <w:p>
            <w:pPr>
              <w:spacing w:after="0"/>
            </w:pPr>
            <w:r>
              <w:t>1.3</w:t>
            </w:r>
          </w:p>
        </w:tc>
        <w:tc>
          <w:tcPr>
            <w:tcW w:type="dxa" w:w="1644"/>
            <w:shd w:val="clear" w:color="auto" w:fill="F0FDF4"/>
          </w:tcPr>
          <w:p>
            <w:pPr>
              <w:spacing w:after="0"/>
            </w:pPr>
            <w:r>
              <w:t>Formateur accompagnateur : conduite des bootcamps, suivi des incubés</w:t>
            </w:r>
          </w:p>
        </w:tc>
        <w:tc>
          <w:tcPr>
            <w:tcW w:type="dxa" w:w="1644"/>
            <w:shd w:val="clear" w:color="auto" w:fill="F0FDF4"/>
          </w:tcPr>
          <w:p>
            <w:pPr>
              <w:spacing w:after="0"/>
            </w:pPr>
            <w:r>
              <w:t>jour-homme</w:t>
            </w:r>
          </w:p>
        </w:tc>
        <w:tc>
          <w:tcPr>
            <w:tcW w:type="dxa" w:w="1644"/>
            <w:shd w:val="clear" w:color="auto" w:fill="F0FDF4"/>
          </w:tcPr>
          <w:p>
            <w:pPr>
              <w:spacing w:after="0"/>
              <w:jc w:val="right"/>
            </w:pPr>
            <w:r>
              <w:t>20</w:t>
            </w:r>
          </w:p>
        </w:tc>
        <w:tc>
          <w:tcPr>
            <w:tcW w:type="dxa" w:w="1644"/>
            <w:shd w:val="clear" w:color="auto" w:fill="F0FDF4"/>
          </w:tcPr>
          <w:p>
            <w:pPr>
              <w:spacing w:after="0"/>
              <w:jc w:val="right"/>
            </w:pPr>
            <w:r>
              <w:t>250 000</w:t>
            </w:r>
          </w:p>
        </w:tc>
        <w:tc>
          <w:tcPr>
            <w:tcW w:type="dxa" w:w="1644"/>
            <w:shd w:val="clear" w:color="auto" w:fill="F0FDF4"/>
          </w:tcPr>
          <w:p>
            <w:pPr>
              <w:spacing w:after="0"/>
              <w:jc w:val="right"/>
            </w:pPr>
            <w:r>
              <w:t>5 000 000</w:t>
            </w:r>
          </w:p>
        </w:tc>
      </w:tr>
      <w:tr>
        <w:trPr>
          <w:cantSplit/>
        </w:trPr>
        <w:tc>
          <w:tcPr>
            <w:tcW w:type="dxa" w:w="1644"/>
          </w:tcPr>
          <w:p>
            <w:pPr>
              <w:spacing w:after="0"/>
            </w:pPr>
            <w:r>
              <w:t>1.4</w:t>
            </w:r>
          </w:p>
        </w:tc>
        <w:tc>
          <w:tcPr>
            <w:tcW w:type="dxa" w:w="1644"/>
          </w:tcPr>
          <w:p>
            <w:pPr>
              <w:spacing w:after="0"/>
            </w:pPr>
            <w:r>
              <w:t>Assistant administratif et logistique : organisation des sessions, logistique terrain</w:t>
            </w:r>
          </w:p>
        </w:tc>
        <w:tc>
          <w:tcPr>
            <w:tcW w:type="dxa" w:w="1644"/>
          </w:tcPr>
          <w:p>
            <w:pPr>
              <w:spacing w:after="0"/>
            </w:pPr>
            <w:r>
              <w:t>jour-homme</w:t>
            </w:r>
          </w:p>
        </w:tc>
        <w:tc>
          <w:tcPr>
            <w:tcW w:type="dxa" w:w="1644"/>
          </w:tcPr>
          <w:p>
            <w:pPr>
              <w:spacing w:after="0"/>
              <w:jc w:val="right"/>
            </w:pPr>
            <w:r>
              <w:t>35</w:t>
            </w:r>
          </w:p>
        </w:tc>
        <w:tc>
          <w:tcPr>
            <w:tcW w:type="dxa" w:w="1644"/>
          </w:tcPr>
          <w:p>
            <w:pPr>
              <w:spacing w:after="0"/>
              <w:jc w:val="right"/>
            </w:pPr>
            <w:r>
              <w:t>150 000</w:t>
            </w:r>
          </w:p>
        </w:tc>
        <w:tc>
          <w:tcPr>
            <w:tcW w:type="dxa" w:w="1644"/>
          </w:tcPr>
          <w:p>
            <w:pPr>
              <w:spacing w:after="0"/>
              <w:jc w:val="right"/>
            </w:pPr>
            <w:r>
              <w:t>5 250 000</w:t>
            </w:r>
          </w:p>
        </w:tc>
      </w:tr>
      <w:tr>
        <w:trPr>
          <w:cantSplit/>
        </w:trPr>
        <w:tc>
          <w:tcPr>
            <w:tcW w:type="dxa" w:w="1644"/>
            <w:shd w:val="clear" w:color="auto" w:fill="F0FDF4"/>
          </w:tcPr>
          <w:p>
            <w:pPr>
              <w:spacing w:after="0"/>
              <w:jc w:val="right"/>
            </w:pPr>
            <w:r>
              <w:rPr>
                <w:b/>
                <w:color w:val="14532D"/>
              </w:rPr>
              <w:t>Sous-total 1</w:t>
            </w: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jc w:val="right"/>
            </w:pPr>
            <w:r>
              <w:rPr>
                <w:b/>
                <w:color w:val="14532D"/>
              </w:rPr>
              <w:t>125</w:t>
            </w:r>
          </w:p>
        </w:tc>
        <w:tc>
          <w:tcPr>
            <w:tcW w:type="dxa" w:w="1644"/>
            <w:shd w:val="clear" w:color="auto" w:fill="F0FDF4"/>
          </w:tcPr>
          <w:p>
            <w:pPr>
              <w:spacing w:after="0"/>
            </w:pPr>
          </w:p>
        </w:tc>
        <w:tc>
          <w:tcPr>
            <w:tcW w:type="dxa" w:w="1644"/>
            <w:shd w:val="clear" w:color="auto" w:fill="F0FDF4"/>
          </w:tcPr>
          <w:p>
            <w:pPr>
              <w:spacing w:after="0"/>
              <w:jc w:val="right"/>
            </w:pPr>
            <w:r>
              <w:rPr>
                <w:b/>
                <w:color w:val="14532D"/>
              </w:rPr>
              <w:t>32 750 000</w:t>
            </w:r>
          </w:p>
        </w:tc>
      </w:tr>
      <w:tr>
        <w:trPr>
          <w:cantSplit/>
        </w:trPr>
        <w:tc>
          <w:tcPr>
            <w:tcW w:type="dxa" w:w="9864"/>
            <w:gridSpan w:val="6"/>
          </w:tcPr>
          <w:p>
            <w:pPr>
              <w:spacing w:after="0"/>
            </w:pPr>
            <w:r>
              <w:rPr>
                <w:b/>
                <w:color w:val="14532D"/>
              </w:rPr>
              <w:t>2. ÉQUIPEMENT ET FOURNITURES</w:t>
            </w:r>
          </w:p>
        </w:tc>
      </w:tr>
      <w:tr>
        <w:trPr>
          <w:cantSplit/>
        </w:trPr>
        <w:tc>
          <w:tcPr>
            <w:tcW w:type="dxa" w:w="1644"/>
            <w:shd w:val="clear" w:color="auto" w:fill="F0FDF4"/>
          </w:tcPr>
          <w:p>
            <w:pPr>
              <w:spacing w:after="0"/>
            </w:pPr>
            <w:r>
              <w:t>2.1</w:t>
            </w:r>
          </w:p>
        </w:tc>
        <w:tc>
          <w:tcPr>
            <w:tcW w:type="dxa" w:w="1644"/>
            <w:shd w:val="clear" w:color="auto" w:fill="F0FDF4"/>
          </w:tcPr>
          <w:p>
            <w:pPr>
              <w:spacing w:after="0"/>
            </w:pPr>
            <w:r>
              <w:t>Kits de formation et supports pédagogiques pour les incubés (guides GERME, cahiers, stylos, calculatrices)</w:t>
            </w:r>
          </w:p>
        </w:tc>
        <w:tc>
          <w:tcPr>
            <w:tcW w:type="dxa" w:w="1644"/>
            <w:shd w:val="clear" w:color="auto" w:fill="F0FDF4"/>
          </w:tcPr>
          <w:p>
            <w:pPr>
              <w:spacing w:after="0"/>
            </w:pPr>
            <w:r>
              <w:t>kit / incubé</w:t>
            </w:r>
          </w:p>
        </w:tc>
        <w:tc>
          <w:tcPr>
            <w:tcW w:type="dxa" w:w="1644"/>
            <w:shd w:val="clear" w:color="auto" w:fill="F0FDF4"/>
          </w:tcPr>
          <w:p>
            <w:pPr>
              <w:spacing w:after="0"/>
              <w:jc w:val="right"/>
            </w:pPr>
            <w:r>
              <w:t>45</w:t>
            </w:r>
          </w:p>
        </w:tc>
        <w:tc>
          <w:tcPr>
            <w:tcW w:type="dxa" w:w="1644"/>
            <w:shd w:val="clear" w:color="auto" w:fill="F0FDF4"/>
          </w:tcPr>
          <w:p>
            <w:pPr>
              <w:spacing w:after="0"/>
              <w:jc w:val="right"/>
            </w:pPr>
            <w:r>
              <w:t>60 000</w:t>
            </w:r>
          </w:p>
        </w:tc>
        <w:tc>
          <w:tcPr>
            <w:tcW w:type="dxa" w:w="1644"/>
            <w:shd w:val="clear" w:color="auto" w:fill="F0FDF4"/>
          </w:tcPr>
          <w:p>
            <w:pPr>
              <w:spacing w:after="0"/>
              <w:jc w:val="right"/>
            </w:pPr>
            <w:r>
              <w:t>2 700 000</w:t>
            </w:r>
          </w:p>
        </w:tc>
      </w:tr>
      <w:tr>
        <w:trPr>
          <w:cantSplit/>
        </w:trPr>
        <w:tc>
          <w:tcPr>
            <w:tcW w:type="dxa" w:w="1644"/>
          </w:tcPr>
          <w:p>
            <w:pPr>
              <w:spacing w:after="0"/>
            </w:pPr>
            <w:r>
              <w:t>2.2</w:t>
            </w:r>
          </w:p>
        </w:tc>
        <w:tc>
          <w:tcPr>
            <w:tcW w:type="dxa" w:w="1644"/>
          </w:tcPr>
          <w:p>
            <w:pPr>
              <w:spacing w:after="0"/>
            </w:pPr>
            <w:r>
              <w:t>Fournitures pédagogiques des bootcamps (paperboards, marqueurs, projecteur, consommables)</w:t>
            </w:r>
          </w:p>
        </w:tc>
        <w:tc>
          <w:tcPr>
            <w:tcW w:type="dxa" w:w="1644"/>
          </w:tcPr>
          <w:p>
            <w:pPr>
              <w:spacing w:after="0"/>
            </w:pPr>
            <w:r>
              <w:t>bootcamp</w:t>
            </w:r>
          </w:p>
        </w:tc>
        <w:tc>
          <w:tcPr>
            <w:tcW w:type="dxa" w:w="1644"/>
          </w:tcPr>
          <w:p>
            <w:pPr>
              <w:spacing w:after="0"/>
              <w:jc w:val="right"/>
            </w:pPr>
            <w:r>
              <w:t>5</w:t>
            </w:r>
          </w:p>
        </w:tc>
        <w:tc>
          <w:tcPr>
            <w:tcW w:type="dxa" w:w="1644"/>
          </w:tcPr>
          <w:p>
            <w:pPr>
              <w:spacing w:after="0"/>
              <w:jc w:val="right"/>
            </w:pPr>
            <w:r>
              <w:t>300 000</w:t>
            </w:r>
          </w:p>
        </w:tc>
        <w:tc>
          <w:tcPr>
            <w:tcW w:type="dxa" w:w="1644"/>
          </w:tcPr>
          <w:p>
            <w:pPr>
              <w:spacing w:after="0"/>
              <w:jc w:val="right"/>
            </w:pPr>
            <w:r>
              <w:t>1 500 000</w:t>
            </w:r>
          </w:p>
        </w:tc>
      </w:tr>
      <w:tr>
        <w:trPr>
          <w:cantSplit/>
        </w:trPr>
        <w:tc>
          <w:tcPr>
            <w:tcW w:type="dxa" w:w="1644"/>
            <w:shd w:val="clear" w:color="auto" w:fill="F0FDF4"/>
          </w:tcPr>
          <w:p>
            <w:pPr>
              <w:spacing w:after="0"/>
            </w:pPr>
            <w:r>
              <w:t>2.3</w:t>
            </w:r>
          </w:p>
        </w:tc>
        <w:tc>
          <w:tcPr>
            <w:tcW w:type="dxa" w:w="1644"/>
            <w:shd w:val="clear" w:color="auto" w:fill="F0FDF4"/>
          </w:tcPr>
          <w:p>
            <w:pPr>
              <w:spacing w:after="0"/>
            </w:pPr>
            <w:r>
              <w:t>Communication de sensibilisation (affiches, banderoles, supports de mobilisation)</w:t>
            </w:r>
          </w:p>
        </w:tc>
        <w:tc>
          <w:tcPr>
            <w:tcW w:type="dxa" w:w="1644"/>
            <w:shd w:val="clear" w:color="auto" w:fill="F0FDF4"/>
          </w:tcPr>
          <w:p>
            <w:pPr>
              <w:spacing w:after="0"/>
            </w:pPr>
            <w:r>
              <w:t>commune</w:t>
            </w:r>
          </w:p>
        </w:tc>
        <w:tc>
          <w:tcPr>
            <w:tcW w:type="dxa" w:w="1644"/>
            <w:shd w:val="clear" w:color="auto" w:fill="F0FDF4"/>
          </w:tcPr>
          <w:p>
            <w:pPr>
              <w:spacing w:after="0"/>
              <w:jc w:val="right"/>
            </w:pPr>
            <w:r>
              <w:t>4</w:t>
            </w:r>
          </w:p>
        </w:tc>
        <w:tc>
          <w:tcPr>
            <w:tcW w:type="dxa" w:w="1644"/>
            <w:shd w:val="clear" w:color="auto" w:fill="F0FDF4"/>
          </w:tcPr>
          <w:p>
            <w:pPr>
              <w:spacing w:after="0"/>
              <w:jc w:val="right"/>
            </w:pPr>
            <w:r>
              <w:t>150 000</w:t>
            </w:r>
          </w:p>
        </w:tc>
        <w:tc>
          <w:tcPr>
            <w:tcW w:type="dxa" w:w="1644"/>
            <w:shd w:val="clear" w:color="auto" w:fill="F0FDF4"/>
          </w:tcPr>
          <w:p>
            <w:pPr>
              <w:spacing w:after="0"/>
              <w:jc w:val="right"/>
            </w:pPr>
            <w:r>
              <w:t>600 000</w:t>
            </w:r>
          </w:p>
        </w:tc>
      </w:tr>
      <w:tr>
        <w:trPr>
          <w:cantSplit/>
        </w:trPr>
        <w:tc>
          <w:tcPr>
            <w:tcW w:type="dxa" w:w="1644"/>
          </w:tcPr>
          <w:p>
            <w:pPr>
              <w:spacing w:after="0"/>
              <w:jc w:val="right"/>
            </w:pPr>
            <w:r>
              <w:rPr>
                <w:b/>
                <w:color w:val="14532D"/>
              </w:rPr>
              <w:t>Sous-total 2</w:t>
            </w:r>
          </w:p>
        </w:tc>
        <w:tc>
          <w:tcPr>
            <w:tcW w:type="dxa" w:w="1644"/>
          </w:tcPr>
          <w:p>
            <w:pPr>
              <w:spacing w:after="0"/>
            </w:pPr>
          </w:p>
        </w:tc>
        <w:tc>
          <w:tcPr>
            <w:tcW w:type="dxa" w:w="1644"/>
          </w:tcPr>
          <w:p>
            <w:pPr>
              <w:spacing w:after="0"/>
            </w:pPr>
          </w:p>
        </w:tc>
        <w:tc>
          <w:tcPr>
            <w:tcW w:type="dxa" w:w="1644"/>
          </w:tcPr>
          <w:p>
            <w:pPr>
              <w:spacing w:after="0"/>
            </w:pPr>
          </w:p>
        </w:tc>
        <w:tc>
          <w:tcPr>
            <w:tcW w:type="dxa" w:w="1644"/>
          </w:tcPr>
          <w:p>
            <w:pPr>
              <w:spacing w:after="0"/>
            </w:pPr>
          </w:p>
        </w:tc>
        <w:tc>
          <w:tcPr>
            <w:tcW w:type="dxa" w:w="1644"/>
          </w:tcPr>
          <w:p>
            <w:pPr>
              <w:spacing w:after="0"/>
              <w:jc w:val="right"/>
            </w:pPr>
            <w:r>
              <w:rPr>
                <w:b/>
                <w:color w:val="14532D"/>
              </w:rPr>
              <w:t>4 800 000</w:t>
            </w:r>
          </w:p>
        </w:tc>
      </w:tr>
      <w:tr>
        <w:trPr>
          <w:cantSplit/>
        </w:trPr>
        <w:tc>
          <w:tcPr>
            <w:tcW w:type="dxa" w:w="9864"/>
            <w:gridSpan w:val="6"/>
            <w:shd w:val="clear" w:color="auto" w:fill="F0FDF4"/>
          </w:tcPr>
          <w:p>
            <w:pPr>
              <w:spacing w:after="0"/>
            </w:pPr>
            <w:r>
              <w:rPr>
                <w:b/>
                <w:color w:val="14532D"/>
              </w:rPr>
              <w:t>3. VOYAGES (déplacements intérieurs)</w:t>
            </w:r>
          </w:p>
        </w:tc>
      </w:tr>
      <w:tr>
        <w:trPr>
          <w:cantSplit/>
        </w:trPr>
        <w:tc>
          <w:tcPr>
            <w:tcW w:type="dxa" w:w="1644"/>
          </w:tcPr>
          <w:p>
            <w:pPr>
              <w:spacing w:after="0"/>
            </w:pPr>
            <w:r>
              <w:t>3.1</w:t>
            </w:r>
          </w:p>
        </w:tc>
        <w:tc>
          <w:tcPr>
            <w:tcW w:type="dxa" w:w="1644"/>
          </w:tcPr>
          <w:p>
            <w:pPr>
              <w:spacing w:after="0"/>
            </w:pPr>
            <w:r>
              <w:t>Transports interurbains de l'équipe (Toliara/Antananarivo — Fianarantsoa/Vohibato, aller-retour)</w:t>
            </w:r>
          </w:p>
        </w:tc>
        <w:tc>
          <w:tcPr>
            <w:tcW w:type="dxa" w:w="1644"/>
          </w:tcPr>
          <w:p>
            <w:pPr>
              <w:spacing w:after="0"/>
            </w:pPr>
            <w:r>
              <w:t>aller-retour</w:t>
            </w:r>
          </w:p>
        </w:tc>
        <w:tc>
          <w:tcPr>
            <w:tcW w:type="dxa" w:w="1644"/>
          </w:tcPr>
          <w:p>
            <w:pPr>
              <w:spacing w:after="0"/>
              <w:jc w:val="right"/>
            </w:pPr>
            <w:r>
              <w:t>10</w:t>
            </w:r>
          </w:p>
        </w:tc>
        <w:tc>
          <w:tcPr>
            <w:tcW w:type="dxa" w:w="1644"/>
          </w:tcPr>
          <w:p>
            <w:pPr>
              <w:spacing w:after="0"/>
              <w:jc w:val="right"/>
            </w:pPr>
            <w:r>
              <w:t>400 000</w:t>
            </w:r>
          </w:p>
        </w:tc>
        <w:tc>
          <w:tcPr>
            <w:tcW w:type="dxa" w:w="1644"/>
          </w:tcPr>
          <w:p>
            <w:pPr>
              <w:spacing w:after="0"/>
              <w:jc w:val="right"/>
            </w:pPr>
            <w:r>
              <w:t>4 000 000</w:t>
            </w:r>
          </w:p>
        </w:tc>
      </w:tr>
      <w:tr>
        <w:trPr>
          <w:cantSplit/>
        </w:trPr>
        <w:tc>
          <w:tcPr>
            <w:tcW w:type="dxa" w:w="1644"/>
            <w:shd w:val="clear" w:color="auto" w:fill="F0FDF4"/>
          </w:tcPr>
          <w:p>
            <w:pPr>
              <w:spacing w:after="0"/>
            </w:pPr>
            <w:r>
              <w:t>3.2</w:t>
            </w:r>
          </w:p>
        </w:tc>
        <w:tc>
          <w:tcPr>
            <w:tcW w:type="dxa" w:w="1644"/>
            <w:shd w:val="clear" w:color="auto" w:fill="F0FDF4"/>
          </w:tcPr>
          <w:p>
            <w:pPr>
              <w:spacing w:after="0"/>
            </w:pPr>
            <w:r>
              <w:t>Location de véhicule 4x4 avec chauffeur pour les interventions dans les 4 communes (mobilisation, bootcamps, coaching, suivi)</w:t>
            </w:r>
          </w:p>
        </w:tc>
        <w:tc>
          <w:tcPr>
            <w:tcW w:type="dxa" w:w="1644"/>
            <w:shd w:val="clear" w:color="auto" w:fill="F0FDF4"/>
          </w:tcPr>
          <w:p>
            <w:pPr>
              <w:spacing w:after="0"/>
            </w:pPr>
            <w:r>
              <w:t>jour</w:t>
            </w:r>
          </w:p>
        </w:tc>
        <w:tc>
          <w:tcPr>
            <w:tcW w:type="dxa" w:w="1644"/>
            <w:shd w:val="clear" w:color="auto" w:fill="F0FDF4"/>
          </w:tcPr>
          <w:p>
            <w:pPr>
              <w:spacing w:after="0"/>
              <w:jc w:val="right"/>
            </w:pPr>
            <w:r>
              <w:t>60</w:t>
            </w:r>
          </w:p>
        </w:tc>
        <w:tc>
          <w:tcPr>
            <w:tcW w:type="dxa" w:w="1644"/>
            <w:shd w:val="clear" w:color="auto" w:fill="F0FDF4"/>
          </w:tcPr>
          <w:p>
            <w:pPr>
              <w:spacing w:after="0"/>
              <w:jc w:val="right"/>
            </w:pPr>
            <w:r>
              <w:t>250 000</w:t>
            </w:r>
          </w:p>
        </w:tc>
        <w:tc>
          <w:tcPr>
            <w:tcW w:type="dxa" w:w="1644"/>
            <w:shd w:val="clear" w:color="auto" w:fill="F0FDF4"/>
          </w:tcPr>
          <w:p>
            <w:pPr>
              <w:spacing w:after="0"/>
              <w:jc w:val="right"/>
            </w:pPr>
            <w:r>
              <w:t>15 000 000</w:t>
            </w:r>
          </w:p>
        </w:tc>
      </w:tr>
      <w:tr>
        <w:trPr>
          <w:cantSplit/>
        </w:trPr>
        <w:tc>
          <w:tcPr>
            <w:tcW w:type="dxa" w:w="1644"/>
          </w:tcPr>
          <w:p>
            <w:pPr>
              <w:spacing w:after="0"/>
            </w:pPr>
            <w:r>
              <w:t>3.3</w:t>
            </w:r>
          </w:p>
        </w:tc>
        <w:tc>
          <w:tcPr>
            <w:tcW w:type="dxa" w:w="1644"/>
          </w:tcPr>
          <w:p>
            <w:pPr>
              <w:spacing w:after="0"/>
            </w:pPr>
            <w:r>
              <w:t>Carburant et entretien courant du véhicule</w:t>
            </w:r>
          </w:p>
        </w:tc>
        <w:tc>
          <w:tcPr>
            <w:tcW w:type="dxa" w:w="1644"/>
          </w:tcPr>
          <w:p>
            <w:pPr>
              <w:spacing w:after="0"/>
            </w:pPr>
            <w:r>
              <w:t>mois</w:t>
            </w:r>
          </w:p>
        </w:tc>
        <w:tc>
          <w:tcPr>
            <w:tcW w:type="dxa" w:w="1644"/>
          </w:tcPr>
          <w:p>
            <w:pPr>
              <w:spacing w:after="0"/>
              <w:jc w:val="right"/>
            </w:pPr>
            <w:r>
              <w:t>10</w:t>
            </w:r>
          </w:p>
        </w:tc>
        <w:tc>
          <w:tcPr>
            <w:tcW w:type="dxa" w:w="1644"/>
          </w:tcPr>
          <w:p>
            <w:pPr>
              <w:spacing w:after="0"/>
              <w:jc w:val="right"/>
            </w:pPr>
            <w:r>
              <w:t>350 000</w:t>
            </w:r>
          </w:p>
        </w:tc>
        <w:tc>
          <w:tcPr>
            <w:tcW w:type="dxa" w:w="1644"/>
          </w:tcPr>
          <w:p>
            <w:pPr>
              <w:spacing w:after="0"/>
              <w:jc w:val="right"/>
            </w:pPr>
            <w:r>
              <w:t>3 500 000</w:t>
            </w:r>
          </w:p>
        </w:tc>
      </w:tr>
      <w:tr>
        <w:trPr>
          <w:cantSplit/>
        </w:trPr>
        <w:tc>
          <w:tcPr>
            <w:tcW w:type="dxa" w:w="1644"/>
            <w:shd w:val="clear" w:color="auto" w:fill="F0FDF4"/>
          </w:tcPr>
          <w:p>
            <w:pPr>
              <w:spacing w:after="0"/>
              <w:jc w:val="right"/>
            </w:pPr>
            <w:r>
              <w:rPr>
                <w:b/>
                <w:color w:val="14532D"/>
              </w:rPr>
              <w:t>Sous-total 3</w:t>
            </w: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jc w:val="right"/>
            </w:pPr>
            <w:r>
              <w:rPr>
                <w:b/>
                <w:color w:val="14532D"/>
              </w:rPr>
              <w:t>22 500 000</w:t>
            </w:r>
          </w:p>
        </w:tc>
      </w:tr>
      <w:tr>
        <w:trPr>
          <w:cantSplit/>
        </w:trPr>
        <w:tc>
          <w:tcPr>
            <w:tcW w:type="dxa" w:w="9864"/>
            <w:gridSpan w:val="6"/>
          </w:tcPr>
          <w:p>
            <w:pPr>
              <w:spacing w:after="0"/>
            </w:pPr>
            <w:r>
              <w:rPr>
                <w:b/>
                <w:color w:val="14532D"/>
              </w:rPr>
              <w:t>4. HÉBERGEMENT (hôtel et restauration)</w:t>
            </w:r>
          </w:p>
        </w:tc>
      </w:tr>
      <w:tr>
        <w:trPr>
          <w:cantSplit/>
        </w:trPr>
        <w:tc>
          <w:tcPr>
            <w:tcW w:type="dxa" w:w="1644"/>
            <w:shd w:val="clear" w:color="auto" w:fill="F0FDF4"/>
          </w:tcPr>
          <w:p>
            <w:pPr>
              <w:spacing w:after="0"/>
            </w:pPr>
            <w:r>
              <w:t>4.1</w:t>
            </w:r>
          </w:p>
        </w:tc>
        <w:tc>
          <w:tcPr>
            <w:tcW w:type="dxa" w:w="1644"/>
            <w:shd w:val="clear" w:color="auto" w:fill="F0FDF4"/>
          </w:tcPr>
          <w:p>
            <w:pPr>
              <w:spacing w:after="0"/>
            </w:pPr>
            <w:r>
              <w:t>Hébergement de l'équipe pendant les sessions (3 personnes × 25 nuitées de session)</w:t>
            </w:r>
          </w:p>
        </w:tc>
        <w:tc>
          <w:tcPr>
            <w:tcW w:type="dxa" w:w="1644"/>
            <w:shd w:val="clear" w:color="auto" w:fill="F0FDF4"/>
          </w:tcPr>
          <w:p>
            <w:pPr>
              <w:spacing w:after="0"/>
            </w:pPr>
            <w:r>
              <w:t>nuitée</w:t>
            </w:r>
          </w:p>
        </w:tc>
        <w:tc>
          <w:tcPr>
            <w:tcW w:type="dxa" w:w="1644"/>
            <w:shd w:val="clear" w:color="auto" w:fill="F0FDF4"/>
          </w:tcPr>
          <w:p>
            <w:pPr>
              <w:spacing w:after="0"/>
              <w:jc w:val="right"/>
            </w:pPr>
            <w:r>
              <w:t>75</w:t>
            </w:r>
          </w:p>
        </w:tc>
        <w:tc>
          <w:tcPr>
            <w:tcW w:type="dxa" w:w="1644"/>
            <w:shd w:val="clear" w:color="auto" w:fill="F0FDF4"/>
          </w:tcPr>
          <w:p>
            <w:pPr>
              <w:spacing w:after="0"/>
              <w:jc w:val="right"/>
            </w:pPr>
            <w:r>
              <w:t>50 000</w:t>
            </w:r>
          </w:p>
        </w:tc>
        <w:tc>
          <w:tcPr>
            <w:tcW w:type="dxa" w:w="1644"/>
            <w:shd w:val="clear" w:color="auto" w:fill="F0FDF4"/>
          </w:tcPr>
          <w:p>
            <w:pPr>
              <w:spacing w:after="0"/>
              <w:jc w:val="right"/>
            </w:pPr>
            <w:r>
              <w:t>3 750 000</w:t>
            </w:r>
          </w:p>
        </w:tc>
      </w:tr>
      <w:tr>
        <w:trPr>
          <w:cantSplit/>
        </w:trPr>
        <w:tc>
          <w:tcPr>
            <w:tcW w:type="dxa" w:w="1644"/>
          </w:tcPr>
          <w:p>
            <w:pPr>
              <w:spacing w:after="0"/>
            </w:pPr>
            <w:r>
              <w:t>4.2</w:t>
            </w:r>
          </w:p>
        </w:tc>
        <w:tc>
          <w:tcPr>
            <w:tcW w:type="dxa" w:w="1644"/>
          </w:tcPr>
          <w:p>
            <w:pPr>
              <w:spacing w:after="0"/>
            </w:pPr>
            <w:r>
              <w:t>Restauration et indemnités journalières de l'équipe en mission (3 personnes × 25 jours)</w:t>
            </w:r>
          </w:p>
        </w:tc>
        <w:tc>
          <w:tcPr>
            <w:tcW w:type="dxa" w:w="1644"/>
          </w:tcPr>
          <w:p>
            <w:pPr>
              <w:spacing w:after="0"/>
            </w:pPr>
            <w:r>
              <w:t>jour-personne</w:t>
            </w:r>
          </w:p>
        </w:tc>
        <w:tc>
          <w:tcPr>
            <w:tcW w:type="dxa" w:w="1644"/>
          </w:tcPr>
          <w:p>
            <w:pPr>
              <w:spacing w:after="0"/>
              <w:jc w:val="right"/>
            </w:pPr>
            <w:r>
              <w:t>75</w:t>
            </w:r>
          </w:p>
        </w:tc>
        <w:tc>
          <w:tcPr>
            <w:tcW w:type="dxa" w:w="1644"/>
          </w:tcPr>
          <w:p>
            <w:pPr>
              <w:spacing w:after="0"/>
              <w:jc w:val="right"/>
            </w:pPr>
            <w:r>
              <w:t>60 000</w:t>
            </w:r>
          </w:p>
        </w:tc>
        <w:tc>
          <w:tcPr>
            <w:tcW w:type="dxa" w:w="1644"/>
          </w:tcPr>
          <w:p>
            <w:pPr>
              <w:spacing w:after="0"/>
              <w:jc w:val="right"/>
            </w:pPr>
            <w:r>
              <w:t>4 500 000</w:t>
            </w:r>
          </w:p>
        </w:tc>
      </w:tr>
      <w:tr>
        <w:trPr>
          <w:cantSplit/>
        </w:trPr>
        <w:tc>
          <w:tcPr>
            <w:tcW w:type="dxa" w:w="1644"/>
            <w:shd w:val="clear" w:color="auto" w:fill="F0FDF4"/>
          </w:tcPr>
          <w:p>
            <w:pPr>
              <w:spacing w:after="0"/>
            </w:pPr>
            <w:r>
              <w:t>4.3</w:t>
            </w:r>
          </w:p>
        </w:tc>
        <w:tc>
          <w:tcPr>
            <w:tcW w:type="dxa" w:w="1644"/>
            <w:shd w:val="clear" w:color="auto" w:fill="F0FDF4"/>
          </w:tcPr>
          <w:p>
            <w:pPr>
              <w:spacing w:after="0"/>
            </w:pPr>
            <w:r>
              <w:t>Restauration des incubés pendant les bootcamps (45 incubés × 15 jours de bootcamp) — à confirmer avec la FAO</w:t>
            </w:r>
          </w:p>
        </w:tc>
        <w:tc>
          <w:tcPr>
            <w:tcW w:type="dxa" w:w="1644"/>
            <w:shd w:val="clear" w:color="auto" w:fill="F0FDF4"/>
          </w:tcPr>
          <w:p>
            <w:pPr>
              <w:spacing w:after="0"/>
            </w:pPr>
            <w:r>
              <w:t>jour-personne</w:t>
            </w:r>
          </w:p>
        </w:tc>
        <w:tc>
          <w:tcPr>
            <w:tcW w:type="dxa" w:w="1644"/>
            <w:shd w:val="clear" w:color="auto" w:fill="F0FDF4"/>
          </w:tcPr>
          <w:p>
            <w:pPr>
              <w:spacing w:after="0"/>
              <w:jc w:val="right"/>
            </w:pPr>
            <w:r>
              <w:t>675</w:t>
            </w:r>
          </w:p>
        </w:tc>
        <w:tc>
          <w:tcPr>
            <w:tcW w:type="dxa" w:w="1644"/>
            <w:shd w:val="clear" w:color="auto" w:fill="F0FDF4"/>
          </w:tcPr>
          <w:p>
            <w:pPr>
              <w:spacing w:after="0"/>
              <w:jc w:val="right"/>
            </w:pPr>
            <w:r>
              <w:t>20 000</w:t>
            </w:r>
          </w:p>
        </w:tc>
        <w:tc>
          <w:tcPr>
            <w:tcW w:type="dxa" w:w="1644"/>
            <w:shd w:val="clear" w:color="auto" w:fill="F0FDF4"/>
          </w:tcPr>
          <w:p>
            <w:pPr>
              <w:spacing w:after="0"/>
              <w:jc w:val="right"/>
            </w:pPr>
            <w:r>
              <w:t>13 500 000</w:t>
            </w:r>
          </w:p>
        </w:tc>
      </w:tr>
      <w:tr>
        <w:trPr>
          <w:cantSplit/>
        </w:trPr>
        <w:tc>
          <w:tcPr>
            <w:tcW w:type="dxa" w:w="1644"/>
          </w:tcPr>
          <w:p>
            <w:pPr>
              <w:spacing w:after="0"/>
              <w:jc w:val="right"/>
            </w:pPr>
            <w:r>
              <w:rPr>
                <w:b/>
                <w:color w:val="14532D"/>
              </w:rPr>
              <w:t>Sous-total 4</w:t>
            </w:r>
          </w:p>
        </w:tc>
        <w:tc>
          <w:tcPr>
            <w:tcW w:type="dxa" w:w="1644"/>
          </w:tcPr>
          <w:p>
            <w:pPr>
              <w:spacing w:after="0"/>
            </w:pPr>
          </w:p>
        </w:tc>
        <w:tc>
          <w:tcPr>
            <w:tcW w:type="dxa" w:w="1644"/>
          </w:tcPr>
          <w:p>
            <w:pPr>
              <w:spacing w:after="0"/>
            </w:pPr>
          </w:p>
        </w:tc>
        <w:tc>
          <w:tcPr>
            <w:tcW w:type="dxa" w:w="1644"/>
          </w:tcPr>
          <w:p>
            <w:pPr>
              <w:spacing w:after="0"/>
            </w:pPr>
          </w:p>
        </w:tc>
        <w:tc>
          <w:tcPr>
            <w:tcW w:type="dxa" w:w="1644"/>
          </w:tcPr>
          <w:p>
            <w:pPr>
              <w:spacing w:after="0"/>
            </w:pPr>
          </w:p>
        </w:tc>
        <w:tc>
          <w:tcPr>
            <w:tcW w:type="dxa" w:w="1644"/>
          </w:tcPr>
          <w:p>
            <w:pPr>
              <w:spacing w:after="0"/>
              <w:jc w:val="right"/>
            </w:pPr>
            <w:r>
              <w:rPr>
                <w:b/>
                <w:color w:val="14532D"/>
              </w:rPr>
              <w:t>21 750 000</w:t>
            </w:r>
          </w:p>
        </w:tc>
      </w:tr>
      <w:tr>
        <w:trPr>
          <w:cantSplit/>
        </w:trPr>
        <w:tc>
          <w:tcPr>
            <w:tcW w:type="dxa" w:w="9864"/>
            <w:gridSpan w:val="6"/>
            <w:shd w:val="clear" w:color="auto" w:fill="F0FDF4"/>
          </w:tcPr>
          <w:p>
            <w:pPr>
              <w:spacing w:after="0"/>
            </w:pPr>
            <w:r>
              <w:rPr>
                <w:b/>
                <w:color w:val="14532D"/>
              </w:rPr>
              <w:t>5. FRAIS GÉNÉRAUX ET ENTRETIEN</w:t>
            </w:r>
          </w:p>
        </w:tc>
      </w:tr>
      <w:tr>
        <w:trPr>
          <w:cantSplit/>
        </w:trPr>
        <w:tc>
          <w:tcPr>
            <w:tcW w:type="dxa" w:w="1644"/>
          </w:tcPr>
          <w:p>
            <w:pPr>
              <w:spacing w:after="0"/>
            </w:pPr>
            <w:r>
              <w:t>5.1</w:t>
            </w:r>
          </w:p>
        </w:tc>
        <w:tc>
          <w:tcPr>
            <w:tcW w:type="dxa" w:w="1644"/>
          </w:tcPr>
          <w:p>
            <w:pPr>
              <w:spacing w:after="0"/>
            </w:pPr>
            <w:r>
              <w:t>Communication et connectivité (téléphonie, internet, coordination FAO/UGP)</w:t>
            </w:r>
          </w:p>
        </w:tc>
        <w:tc>
          <w:tcPr>
            <w:tcW w:type="dxa" w:w="1644"/>
          </w:tcPr>
          <w:p>
            <w:pPr>
              <w:spacing w:after="0"/>
            </w:pPr>
            <w:r>
              <w:t>mois</w:t>
            </w:r>
          </w:p>
        </w:tc>
        <w:tc>
          <w:tcPr>
            <w:tcW w:type="dxa" w:w="1644"/>
          </w:tcPr>
          <w:p>
            <w:pPr>
              <w:spacing w:after="0"/>
              <w:jc w:val="right"/>
            </w:pPr>
            <w:r>
              <w:t>10</w:t>
            </w:r>
          </w:p>
        </w:tc>
        <w:tc>
          <w:tcPr>
            <w:tcW w:type="dxa" w:w="1644"/>
          </w:tcPr>
          <w:p>
            <w:pPr>
              <w:spacing w:after="0"/>
              <w:jc w:val="right"/>
            </w:pPr>
            <w:r>
              <w:t>150 000</w:t>
            </w:r>
          </w:p>
        </w:tc>
        <w:tc>
          <w:tcPr>
            <w:tcW w:type="dxa" w:w="1644"/>
          </w:tcPr>
          <w:p>
            <w:pPr>
              <w:spacing w:after="0"/>
              <w:jc w:val="right"/>
            </w:pPr>
            <w:r>
              <w:t>1 500 000</w:t>
            </w:r>
          </w:p>
        </w:tc>
      </w:tr>
      <w:tr>
        <w:trPr>
          <w:cantSplit/>
        </w:trPr>
        <w:tc>
          <w:tcPr>
            <w:tcW w:type="dxa" w:w="1644"/>
            <w:shd w:val="clear" w:color="auto" w:fill="F0FDF4"/>
          </w:tcPr>
          <w:p>
            <w:pPr>
              <w:spacing w:after="0"/>
            </w:pPr>
            <w:r>
              <w:t>5.2</w:t>
            </w:r>
          </w:p>
        </w:tc>
        <w:tc>
          <w:tcPr>
            <w:tcW w:type="dxa" w:w="1644"/>
            <w:shd w:val="clear" w:color="auto" w:fill="F0FDF4"/>
          </w:tcPr>
          <w:p>
            <w:pPr>
              <w:spacing w:after="0"/>
            </w:pPr>
            <w:r>
              <w:t>Impression et documentation (rapports, fiches de présence, plans d'affaires, dossiers de financement)</w:t>
            </w:r>
          </w:p>
        </w:tc>
        <w:tc>
          <w:tcPr>
            <w:tcW w:type="dxa" w:w="1644"/>
            <w:shd w:val="clear" w:color="auto" w:fill="F0FDF4"/>
          </w:tcPr>
          <w:p>
            <w:pPr>
              <w:spacing w:after="0"/>
            </w:pPr>
            <w:r>
              <w:t>forfait période</w:t>
            </w:r>
          </w:p>
        </w:tc>
        <w:tc>
          <w:tcPr>
            <w:tcW w:type="dxa" w:w="1644"/>
            <w:shd w:val="clear" w:color="auto" w:fill="F0FDF4"/>
          </w:tcPr>
          <w:p>
            <w:pPr>
              <w:spacing w:after="0"/>
              <w:jc w:val="right"/>
            </w:pPr>
            <w:r>
              <w:t>1</w:t>
            </w:r>
          </w:p>
        </w:tc>
        <w:tc>
          <w:tcPr>
            <w:tcW w:type="dxa" w:w="1644"/>
            <w:shd w:val="clear" w:color="auto" w:fill="F0FDF4"/>
          </w:tcPr>
          <w:p>
            <w:pPr>
              <w:spacing w:after="0"/>
              <w:jc w:val="right"/>
            </w:pPr>
            <w:r>
              <w:t>1 500 000</w:t>
            </w:r>
          </w:p>
        </w:tc>
        <w:tc>
          <w:tcPr>
            <w:tcW w:type="dxa" w:w="1644"/>
            <w:shd w:val="clear" w:color="auto" w:fill="F0FDF4"/>
          </w:tcPr>
          <w:p>
            <w:pPr>
              <w:spacing w:after="0"/>
              <w:jc w:val="right"/>
            </w:pPr>
            <w:r>
              <w:t>1 500 000</w:t>
            </w:r>
          </w:p>
        </w:tc>
      </w:tr>
      <w:tr>
        <w:trPr>
          <w:cantSplit/>
        </w:trPr>
        <w:tc>
          <w:tcPr>
            <w:tcW w:type="dxa" w:w="1644"/>
          </w:tcPr>
          <w:p>
            <w:pPr>
              <w:spacing w:after="0"/>
            </w:pPr>
            <w:r>
              <w:t>5.3</w:t>
            </w:r>
          </w:p>
        </w:tc>
        <w:tc>
          <w:tcPr>
            <w:tcW w:type="dxa" w:w="1644"/>
          </w:tcPr>
          <w:p>
            <w:pPr>
              <w:spacing w:after="0"/>
            </w:pPr>
            <w:r>
              <w:t>Frais administratifs et bureau de coordination dans la zone d'intervention</w:t>
            </w:r>
          </w:p>
        </w:tc>
        <w:tc>
          <w:tcPr>
            <w:tcW w:type="dxa" w:w="1644"/>
          </w:tcPr>
          <w:p>
            <w:pPr>
              <w:spacing w:after="0"/>
            </w:pPr>
            <w:r>
              <w:t>mois</w:t>
            </w:r>
          </w:p>
        </w:tc>
        <w:tc>
          <w:tcPr>
            <w:tcW w:type="dxa" w:w="1644"/>
          </w:tcPr>
          <w:p>
            <w:pPr>
              <w:spacing w:after="0"/>
              <w:jc w:val="right"/>
            </w:pPr>
            <w:r>
              <w:t>10</w:t>
            </w:r>
          </w:p>
        </w:tc>
        <w:tc>
          <w:tcPr>
            <w:tcW w:type="dxa" w:w="1644"/>
          </w:tcPr>
          <w:p>
            <w:pPr>
              <w:spacing w:after="0"/>
              <w:jc w:val="right"/>
            </w:pPr>
            <w:r>
              <w:t>400 000</w:t>
            </w:r>
          </w:p>
        </w:tc>
        <w:tc>
          <w:tcPr>
            <w:tcW w:type="dxa" w:w="1644"/>
          </w:tcPr>
          <w:p>
            <w:pPr>
              <w:spacing w:after="0"/>
              <w:jc w:val="right"/>
            </w:pPr>
            <w:r>
              <w:t>4 000 000</w:t>
            </w:r>
          </w:p>
        </w:tc>
      </w:tr>
      <w:tr>
        <w:trPr>
          <w:cantSplit/>
        </w:trPr>
        <w:tc>
          <w:tcPr>
            <w:tcW w:type="dxa" w:w="1644"/>
            <w:shd w:val="clear" w:color="auto" w:fill="F0FDF4"/>
          </w:tcPr>
          <w:p>
            <w:pPr>
              <w:spacing w:after="0"/>
              <w:jc w:val="right"/>
            </w:pPr>
            <w:r>
              <w:rPr>
                <w:b/>
                <w:color w:val="14532D"/>
              </w:rPr>
              <w:t>Sous-total 5</w:t>
            </w: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jc w:val="right"/>
            </w:pPr>
            <w:r>
              <w:rPr>
                <w:b/>
                <w:color w:val="14532D"/>
              </w:rPr>
              <w:t>7 000 000</w:t>
            </w:r>
          </w:p>
        </w:tc>
      </w:tr>
      <w:tr>
        <w:trPr>
          <w:cantSplit/>
        </w:trPr>
        <w:tc>
          <w:tcPr>
            <w:tcW w:type="dxa" w:w="9864"/>
            <w:gridSpan w:val="6"/>
          </w:tcPr>
          <w:p>
            <w:pPr>
              <w:spacing w:after="0"/>
            </w:pPr>
            <w:r>
              <w:rPr>
                <w:b/>
                <w:color w:val="14532D"/>
              </w:rPr>
              <w:t>6. AUTRE (spécifier)</w:t>
            </w:r>
          </w:p>
        </w:tc>
      </w:tr>
      <w:tr>
        <w:trPr>
          <w:cantSplit/>
        </w:trPr>
        <w:tc>
          <w:tcPr>
            <w:tcW w:type="dxa" w:w="1644"/>
            <w:shd w:val="clear" w:color="auto" w:fill="F0FDF4"/>
          </w:tcPr>
          <w:p>
            <w:pPr>
              <w:spacing w:after="0"/>
            </w:pPr>
            <w:r>
              <w:t>6.1</w:t>
            </w:r>
          </w:p>
        </w:tc>
        <w:tc>
          <w:tcPr>
            <w:tcW w:type="dxa" w:w="1644"/>
            <w:shd w:val="clear" w:color="auto" w:fill="F0FDF4"/>
          </w:tcPr>
          <w:p>
            <w:pPr>
              <w:spacing w:after="0"/>
            </w:pPr>
            <w:r>
              <w:t>Master class et animation de la communauté de pratique (plateforme, séances à distance 2 × 2 h/mois)</w:t>
            </w:r>
          </w:p>
        </w:tc>
        <w:tc>
          <w:tcPr>
            <w:tcW w:type="dxa" w:w="1644"/>
            <w:shd w:val="clear" w:color="auto" w:fill="F0FDF4"/>
          </w:tcPr>
          <w:p>
            <w:pPr>
              <w:spacing w:after="0"/>
            </w:pPr>
            <w:r>
              <w:t>forfait période</w:t>
            </w:r>
          </w:p>
        </w:tc>
        <w:tc>
          <w:tcPr>
            <w:tcW w:type="dxa" w:w="1644"/>
            <w:shd w:val="clear" w:color="auto" w:fill="F0FDF4"/>
          </w:tcPr>
          <w:p>
            <w:pPr>
              <w:spacing w:after="0"/>
              <w:jc w:val="right"/>
            </w:pPr>
            <w:r>
              <w:t>1</w:t>
            </w:r>
          </w:p>
        </w:tc>
        <w:tc>
          <w:tcPr>
            <w:tcW w:type="dxa" w:w="1644"/>
            <w:shd w:val="clear" w:color="auto" w:fill="F0FDF4"/>
          </w:tcPr>
          <w:p>
            <w:pPr>
              <w:spacing w:after="0"/>
              <w:jc w:val="right"/>
            </w:pPr>
            <w:r>
              <w:t>1 000 000</w:t>
            </w:r>
          </w:p>
        </w:tc>
        <w:tc>
          <w:tcPr>
            <w:tcW w:type="dxa" w:w="1644"/>
            <w:shd w:val="clear" w:color="auto" w:fill="F0FDF4"/>
          </w:tcPr>
          <w:p>
            <w:pPr>
              <w:spacing w:after="0"/>
              <w:jc w:val="right"/>
            </w:pPr>
            <w:r>
              <w:t>1 000 000</w:t>
            </w:r>
          </w:p>
        </w:tc>
      </w:tr>
      <w:tr>
        <w:trPr>
          <w:cantSplit/>
        </w:trPr>
        <w:tc>
          <w:tcPr>
            <w:tcW w:type="dxa" w:w="1644"/>
          </w:tcPr>
          <w:p>
            <w:pPr>
              <w:spacing w:after="0"/>
            </w:pPr>
            <w:r>
              <w:t>6.2</w:t>
            </w:r>
          </w:p>
        </w:tc>
        <w:tc>
          <w:tcPr>
            <w:tcW w:type="dxa" w:w="1644"/>
          </w:tcPr>
          <w:p>
            <w:pPr>
              <w:spacing w:after="0"/>
            </w:pPr>
            <w:r>
              <w:t>Appui des incubés à la participation à des foires (régionale, nationale) : stands, transport et manutention des produits</w:t>
            </w:r>
          </w:p>
        </w:tc>
        <w:tc>
          <w:tcPr>
            <w:tcW w:type="dxa" w:w="1644"/>
          </w:tcPr>
          <w:p>
            <w:pPr>
              <w:spacing w:after="0"/>
            </w:pPr>
            <w:r>
              <w:t>foire</w:t>
            </w:r>
          </w:p>
        </w:tc>
        <w:tc>
          <w:tcPr>
            <w:tcW w:type="dxa" w:w="1644"/>
          </w:tcPr>
          <w:p>
            <w:pPr>
              <w:spacing w:after="0"/>
              <w:jc w:val="right"/>
            </w:pPr>
            <w:r>
              <w:t>2</w:t>
            </w:r>
          </w:p>
        </w:tc>
        <w:tc>
          <w:tcPr>
            <w:tcW w:type="dxa" w:w="1644"/>
          </w:tcPr>
          <w:p>
            <w:pPr>
              <w:spacing w:after="0"/>
              <w:jc w:val="right"/>
            </w:pPr>
            <w:r>
              <w:t>2 500 000</w:t>
            </w:r>
          </w:p>
        </w:tc>
        <w:tc>
          <w:tcPr>
            <w:tcW w:type="dxa" w:w="1644"/>
          </w:tcPr>
          <w:p>
            <w:pPr>
              <w:spacing w:after="0"/>
              <w:jc w:val="right"/>
            </w:pPr>
            <w:r>
              <w:t>5 000 000</w:t>
            </w:r>
          </w:p>
        </w:tc>
      </w:tr>
      <w:tr>
        <w:trPr>
          <w:cantSplit/>
        </w:trPr>
        <w:tc>
          <w:tcPr>
            <w:tcW w:type="dxa" w:w="1644"/>
            <w:shd w:val="clear" w:color="auto" w:fill="F0FDF4"/>
          </w:tcPr>
          <w:p>
            <w:pPr>
              <w:spacing w:after="0"/>
              <w:jc w:val="right"/>
            </w:pPr>
            <w:r>
              <w:rPr>
                <w:b/>
                <w:color w:val="14532D"/>
              </w:rPr>
              <w:t>Sous-total 6</w:t>
            </w: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pPr>
          </w:p>
        </w:tc>
        <w:tc>
          <w:tcPr>
            <w:tcW w:type="dxa" w:w="1644"/>
            <w:shd w:val="clear" w:color="auto" w:fill="F0FDF4"/>
          </w:tcPr>
          <w:p>
            <w:pPr>
              <w:spacing w:after="0"/>
              <w:jc w:val="right"/>
            </w:pPr>
            <w:r>
              <w:rPr>
                <w:b/>
                <w:color w:val="14532D"/>
              </w:rPr>
              <w:t>6 000 000</w:t>
            </w:r>
          </w:p>
        </w:tc>
      </w:tr>
      <w:tr>
        <w:trPr>
          <w:cantSplit/>
        </w:trPr>
        <w:tc>
          <w:tcPr>
            <w:tcW w:type="dxa" w:w="8220"/>
            <w:gridSpan w:val="5"/>
          </w:tcPr>
          <w:p>
            <w:pPr>
              <w:spacing w:after="0"/>
            </w:pPr>
            <w:r>
              <w:rPr>
                <w:b/>
                <w:color w:val="14532D"/>
              </w:rPr>
              <w:t>COÛT TOTAL (Ar)</w:t>
            </w:r>
          </w:p>
        </w:tc>
        <w:tc>
          <w:tcPr>
            <w:tcW w:type="dxa" w:w="1644"/>
          </w:tcPr>
          <w:p>
            <w:pPr>
              <w:spacing w:after="0"/>
              <w:jc w:val="right"/>
            </w:pPr>
            <w:r>
              <w:rPr>
                <w:b/>
                <w:color w:val="14532D"/>
              </w:rPr>
              <w:t>94 800 000</w:t>
            </w:r>
          </w:p>
        </w:tc>
      </w:tr>
    </w:tbl>
    <w:p>
      <w:pPr>
        <w:spacing w:before="0" w:after="0" w:line="120" w:lineRule="exact"/>
      </w:pPr>
    </w:p>
    <w:p>
      <w:r>
        <w:t>Conformément aux termes de référence, le budget est ventilé par catégorie de dépenses selon les entrants nécessaires aux activités ; aucun montant forfaitaire par activité n'est utilisé. Les taux unitaires constituent la proposition du CARSO et pourront être ajustés en concertation avec la FAO lors de la finalisation du protocole d'accord.</w:t>
      </w:r>
    </w:p>
    <w:p>
      <w:pPr>
        <w:jc w:val="center"/>
      </w:pPr>
      <w:r>
        <w:drawing>
          <wp:inline xmlns:a="http://schemas.openxmlformats.org/drawingml/2006/main" xmlns:pic="http://schemas.openxmlformats.org/drawingml/2006/picture">
            <wp:extent cx="6264000" cy="2610000"/>
            <wp:docPr id="1" name="Picture 1" descr="Répartition du budget par catégorie"/>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264000" cy="2610000"/>
                    </a:xfrm>
                    <a:prstGeom prst="rect"/>
                  </pic:spPr>
                </pic:pic>
              </a:graphicData>
            </a:graphic>
          </wp:inline>
        </w:drawing>
      </w:r>
    </w:p>
    <w:p>
      <w:pPr>
        <w:pStyle w:val="Legende"/>
      </w:pPr>
      <w:r>
        <w:t>Répartition du budget total (94 800 000 Ar) par catégorie de dépenses</w:t>
      </w:r>
    </w:p>
    <w:p>
      <w:pPr>
        <w:pStyle w:val="Heading2"/>
      </w:pPr>
      <w:r>
        <w:t>4. Échéancier de paiement</w:t>
      </w:r>
    </w:p>
    <w:p>
      <w:r>
        <w:t>Les paiements sont conditionnés à la soumission et à l'approbation des rapports par la FAO, selon les tranches prévues aux termes de référence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Tranche</w:t>
            </w:r>
          </w:p>
        </w:tc>
        <w:tc>
          <w:tcPr>
            <w:tcW w:type="dxa" w:w="2466"/>
            <w:shd w:val="clear" w:color="auto" w:fill="14532D"/>
          </w:tcPr>
          <w:p>
            <w:pPr>
              <w:spacing w:after="0"/>
              <w:jc w:val="right"/>
            </w:pPr>
            <w:r>
              <w:rPr>
                <w:b/>
                <w:color w:val="FFFFFF"/>
              </w:rPr>
              <w:t>%</w:t>
            </w:r>
          </w:p>
        </w:tc>
        <w:tc>
          <w:tcPr>
            <w:tcW w:type="dxa" w:w="2466"/>
            <w:shd w:val="clear" w:color="auto" w:fill="14532D"/>
          </w:tcPr>
          <w:p>
            <w:pPr>
              <w:spacing w:after="0"/>
            </w:pPr>
            <w:r>
              <w:rPr>
                <w:b/>
                <w:color w:val="FFFFFF"/>
              </w:rPr>
              <w:t>Condition</w:t>
            </w:r>
          </w:p>
        </w:tc>
        <w:tc>
          <w:tcPr>
            <w:tcW w:type="dxa" w:w="2466"/>
            <w:shd w:val="clear" w:color="auto" w:fill="14532D"/>
          </w:tcPr>
          <w:p>
            <w:pPr>
              <w:spacing w:after="0"/>
              <w:jc w:val="right"/>
            </w:pPr>
            <w:r>
              <w:rPr>
                <w:b/>
                <w:color w:val="FFFFFF"/>
              </w:rPr>
              <w:t>Montant (Ar)</w:t>
            </w:r>
          </w:p>
        </w:tc>
      </w:tr>
      <w:tr>
        <w:trPr>
          <w:cantSplit/>
        </w:trPr>
        <w:tc>
          <w:tcPr>
            <w:tcW w:type="dxa" w:w="2466"/>
          </w:tcPr>
          <w:p>
            <w:pPr>
              <w:spacing w:after="0"/>
            </w:pPr>
            <w:r>
              <w:t>Tranche 1</w:t>
            </w:r>
          </w:p>
        </w:tc>
        <w:tc>
          <w:tcPr>
            <w:tcW w:type="dxa" w:w="2466"/>
          </w:tcPr>
          <w:p>
            <w:pPr>
              <w:spacing w:after="0"/>
              <w:jc w:val="right"/>
            </w:pPr>
            <w:r>
              <w:t>30 %</w:t>
            </w:r>
          </w:p>
        </w:tc>
        <w:tc>
          <w:tcPr>
            <w:tcW w:type="dxa" w:w="2466"/>
          </w:tcPr>
          <w:p>
            <w:pPr>
              <w:spacing w:after="0"/>
            </w:pPr>
            <w:r>
              <w:t>Signature du contrat et soumission du rapport initial</w:t>
            </w:r>
          </w:p>
        </w:tc>
        <w:tc>
          <w:tcPr>
            <w:tcW w:type="dxa" w:w="2466"/>
          </w:tcPr>
          <w:p>
            <w:pPr>
              <w:spacing w:after="0"/>
              <w:jc w:val="right"/>
            </w:pPr>
            <w:r>
              <w:t>28 440 000</w:t>
            </w:r>
          </w:p>
        </w:tc>
      </w:tr>
      <w:tr>
        <w:trPr>
          <w:cantSplit/>
        </w:trPr>
        <w:tc>
          <w:tcPr>
            <w:tcW w:type="dxa" w:w="2466"/>
            <w:shd w:val="clear" w:color="auto" w:fill="F0FDF4"/>
          </w:tcPr>
          <w:p>
            <w:pPr>
              <w:spacing w:after="0"/>
            </w:pPr>
            <w:r>
              <w:t>Tranche 2</w:t>
            </w:r>
          </w:p>
        </w:tc>
        <w:tc>
          <w:tcPr>
            <w:tcW w:type="dxa" w:w="2466"/>
            <w:shd w:val="clear" w:color="auto" w:fill="F0FDF4"/>
          </w:tcPr>
          <w:p>
            <w:pPr>
              <w:spacing w:after="0"/>
              <w:jc w:val="right"/>
            </w:pPr>
            <w:r>
              <w:t>20 %</w:t>
            </w:r>
          </w:p>
        </w:tc>
        <w:tc>
          <w:tcPr>
            <w:tcW w:type="dxa" w:w="2466"/>
            <w:shd w:val="clear" w:color="auto" w:fill="F0FDF4"/>
          </w:tcPr>
          <w:p>
            <w:pPr>
              <w:spacing w:after="0"/>
            </w:pPr>
            <w:r>
              <w:t>Approbation du premier rapport intermédiaire</w:t>
            </w:r>
          </w:p>
        </w:tc>
        <w:tc>
          <w:tcPr>
            <w:tcW w:type="dxa" w:w="2466"/>
            <w:shd w:val="clear" w:color="auto" w:fill="F0FDF4"/>
          </w:tcPr>
          <w:p>
            <w:pPr>
              <w:spacing w:after="0"/>
              <w:jc w:val="right"/>
            </w:pPr>
            <w:r>
              <w:t>18 960 000</w:t>
            </w:r>
          </w:p>
        </w:tc>
      </w:tr>
      <w:tr>
        <w:trPr>
          <w:cantSplit/>
        </w:trPr>
        <w:tc>
          <w:tcPr>
            <w:tcW w:type="dxa" w:w="2466"/>
          </w:tcPr>
          <w:p>
            <w:pPr>
              <w:spacing w:after="0"/>
            </w:pPr>
            <w:r>
              <w:t>Tranche 3</w:t>
            </w:r>
          </w:p>
        </w:tc>
        <w:tc>
          <w:tcPr>
            <w:tcW w:type="dxa" w:w="2466"/>
          </w:tcPr>
          <w:p>
            <w:pPr>
              <w:spacing w:after="0"/>
              <w:jc w:val="right"/>
            </w:pPr>
            <w:r>
              <w:t>30 %</w:t>
            </w:r>
          </w:p>
        </w:tc>
        <w:tc>
          <w:tcPr>
            <w:tcW w:type="dxa" w:w="2466"/>
          </w:tcPr>
          <w:p>
            <w:pPr>
              <w:spacing w:after="0"/>
            </w:pPr>
            <w:r>
              <w:t>Approbation du deuxième rapport intermédiaire vérifiant l'achèvement de la formation</w:t>
            </w:r>
          </w:p>
        </w:tc>
        <w:tc>
          <w:tcPr>
            <w:tcW w:type="dxa" w:w="2466"/>
          </w:tcPr>
          <w:p>
            <w:pPr>
              <w:spacing w:after="0"/>
              <w:jc w:val="right"/>
            </w:pPr>
            <w:r>
              <w:t>28 440 000</w:t>
            </w:r>
          </w:p>
        </w:tc>
      </w:tr>
      <w:tr>
        <w:trPr>
          <w:cantSplit/>
        </w:trPr>
        <w:tc>
          <w:tcPr>
            <w:tcW w:type="dxa" w:w="2466"/>
            <w:shd w:val="clear" w:color="auto" w:fill="F0FDF4"/>
          </w:tcPr>
          <w:p>
            <w:pPr>
              <w:spacing w:after="0"/>
            </w:pPr>
            <w:r>
              <w:t>Tranche 4</w:t>
            </w:r>
          </w:p>
        </w:tc>
        <w:tc>
          <w:tcPr>
            <w:tcW w:type="dxa" w:w="2466"/>
            <w:shd w:val="clear" w:color="auto" w:fill="F0FDF4"/>
          </w:tcPr>
          <w:p>
            <w:pPr>
              <w:spacing w:after="0"/>
              <w:jc w:val="right"/>
            </w:pPr>
            <w:r>
              <w:t>20 %</w:t>
            </w:r>
          </w:p>
        </w:tc>
        <w:tc>
          <w:tcPr>
            <w:tcW w:type="dxa" w:w="2466"/>
            <w:shd w:val="clear" w:color="auto" w:fill="F0FDF4"/>
          </w:tcPr>
          <w:p>
            <w:pPr>
              <w:spacing w:after="0"/>
            </w:pPr>
            <w:r>
              <w:t>Présentation et approbation du rapport final et du rapprochement financier</w:t>
            </w:r>
          </w:p>
        </w:tc>
        <w:tc>
          <w:tcPr>
            <w:tcW w:type="dxa" w:w="2466"/>
            <w:shd w:val="clear" w:color="auto" w:fill="F0FDF4"/>
          </w:tcPr>
          <w:p>
            <w:pPr>
              <w:spacing w:after="0"/>
              <w:jc w:val="right"/>
            </w:pPr>
            <w:r>
              <w:t>18 960 000</w:t>
            </w:r>
          </w:p>
        </w:tc>
      </w:tr>
      <w:tr>
        <w:trPr>
          <w:cantSplit/>
        </w:trPr>
        <w:tc>
          <w:tcPr>
            <w:tcW w:type="dxa" w:w="2466"/>
          </w:tcPr>
          <w:p>
            <w:pPr>
              <w:spacing w:after="0"/>
            </w:pPr>
            <w:r>
              <w:rPr>
                <w:b/>
                <w:color w:val="14532D"/>
              </w:rPr>
              <w:t>Total</w:t>
            </w:r>
          </w:p>
        </w:tc>
        <w:tc>
          <w:tcPr>
            <w:tcW w:type="dxa" w:w="2466"/>
          </w:tcPr>
          <w:p>
            <w:pPr>
              <w:spacing w:after="0"/>
              <w:jc w:val="right"/>
            </w:pPr>
            <w:r>
              <w:rPr>
                <w:b/>
                <w:color w:val="14532D"/>
              </w:rPr>
              <w:t>100 %</w:t>
            </w:r>
          </w:p>
        </w:tc>
        <w:tc>
          <w:tcPr>
            <w:tcW w:type="dxa" w:w="2466"/>
          </w:tcPr>
          <w:p>
            <w:pPr>
              <w:spacing w:after="0"/>
            </w:pPr>
          </w:p>
        </w:tc>
        <w:tc>
          <w:tcPr>
            <w:tcW w:type="dxa" w:w="2466"/>
          </w:tcPr>
          <w:p>
            <w:pPr>
              <w:spacing w:after="0"/>
              <w:jc w:val="right"/>
            </w:pPr>
            <w:r>
              <w:rPr>
                <w:b/>
                <w:color w:val="14532D"/>
              </w:rPr>
              <w:t>94 800 000</w:t>
            </w:r>
          </w:p>
        </w:tc>
      </w:tr>
    </w:tbl>
    <w:p>
      <w:pPr>
        <w:spacing w:before="0" w:after="0" w:line="120" w:lineRule="exact"/>
      </w:pPr>
    </w:p>
    <w:p>
      <w:pPr>
        <w:jc w:val="center"/>
      </w:pPr>
      <w:r>
        <w:drawing>
          <wp:inline xmlns:a="http://schemas.openxmlformats.org/drawingml/2006/main" xmlns:pic="http://schemas.openxmlformats.org/drawingml/2006/picture">
            <wp:extent cx="6264000" cy="2610000"/>
            <wp:docPr id="2" name="Picture 2" descr="Tranches de paiement"/>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64000" cy="2610000"/>
                    </a:xfrm>
                    <a:prstGeom prst="rect"/>
                  </pic:spPr>
                </pic:pic>
              </a:graphicData>
            </a:graphic>
          </wp:inline>
        </w:drawing>
      </w:r>
    </w:p>
    <w:p>
      <w:pPr>
        <w:pStyle w:val="Legende"/>
      </w:pPr>
      <w:r>
        <w:t>Échéancier des paiements conditionnés aux rapports approuvés par la FAO (en millions d'Ariary)</w:t>
      </w:r>
    </w:p>
    <w:p>
      <w:pPr>
        <w:pStyle w:val="Heading2"/>
      </w:pPr>
      <w:r>
        <w:t>5. Conditions et prérequis de prix</w:t>
      </w:r>
    </w:p>
    <w:p>
      <w:pPr>
        <w:pStyle w:val="ListBullet"/>
      </w:pPr>
      <w:r>
        <w:t>Le contrat prend la forme d'un protocole d'accord à coûts remboursables : la FAO ne paie que les dépenses véritables et conformes au budget de l'annexe B (Appendice D des TDR) ;</w:t>
      </w:r>
    </w:p>
    <w:p>
      <w:pPr>
        <w:pStyle w:val="ListBullet"/>
      </w:pPr>
      <w:r>
        <w:t>les paiements sont effectués sur le compte bancaire indiqué par le prestataire sélectionné ; le nom du titulaire du compte doit coïncider avec le nom exact du prestataire de services ;</w:t>
      </w:r>
    </w:p>
    <w:p>
      <w:pPr>
        <w:pStyle w:val="ListBullet"/>
      </w:pPr>
      <w:r>
        <w:t>les jours-homme sont exécutés selon le planning d'activités convenu avec la FAO, en tenant compte des saisons culturales ;</w:t>
      </w:r>
    </w:p>
    <w:p>
      <w:pPr>
        <w:pStyle w:val="ListBullet"/>
      </w:pPr>
      <w:r>
        <w:t>chaque rapport est accompagné des pièces justificatives financières (registres, pièces de dépense) ; un rapprochement financier conclut le programme ;</w:t>
      </w:r>
    </w:p>
    <w:p>
      <w:pPr>
        <w:pStyle w:val="ListBullet"/>
      </w:pPr>
      <w:r>
        <w:t>validité de l'offre : (à compléter) ;</w:t>
      </w:r>
    </w:p>
    <w:p>
      <w:pPr>
        <w:pStyle w:val="ListBullet"/>
      </w:pPr>
      <w:r>
        <w:t>traitement fiscal des prestations : (à compléter) ;</w:t>
      </w:r>
    </w:p>
    <w:p>
      <w:pPr>
        <w:pStyle w:val="ListBullet"/>
      </w:pPr>
      <w:r>
        <w:t>les taux unitaires pourront être ajustés d'un commun accord lors de la négociation du protocole d'accord, sans changement de quantité ni de qualité des services.</w:t>
      </w:r>
    </w:p>
    <w:p>
      <w:pPr>
        <w:pStyle w:val="Heading2"/>
      </w:pPr>
      <w:r>
        <w:t>6. Coût par incubé (information de gestion)</w:t>
      </w:r>
    </w:p>
    <w:p>
      <w:r>
        <w:t>Le coût total de 94 800 000 Ar pour 45 incubés représente environ 2 106 667 Ar par incubé sur l'ensemble du parcours (5 bootcamps, coaching, suivi et mentoring). Ce ratio est une information dérivée du budget, présentée à titre indicatif.</w:t>
      </w:r>
    </w:p>
    <w:p>
      <w:pPr>
        <w:spacing w:before="560"/>
        <w:ind w:left="5426"/>
      </w:pPr>
      <w:r>
        <w:t>Fait à Toliara, le (à compléter)</w:t>
      </w:r>
    </w:p>
    <w:p>
      <w:pPr>
        <w:ind w:left="5426"/>
      </w:pPr>
      <w:r>
        <w:rPr>
          <w:b/>
          <w:color w:val="14532D"/>
        </w:rPr>
        <w:t>Daniello Solofoniaina</w:t>
      </w:r>
      <w:r>
        <w:br/>
      </w:r>
      <w:r>
        <w:t>CARSO — Centre d'Affaires de la Région Sud-Ouest (GIE)</w:t>
      </w:r>
      <w:r>
        <w:br/>
      </w:r>
      <w:r>
        <w:t>carso@carso.mg — +261 34 61 496 36</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Financière — Lot 3 : Incubation des entreprises vertes, Paysage Volanony-Matsiatra (PVM) — RFP/2026/ULA/097 TEFIALA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16A34A"/>
      </w:pBdr>
      <w:spacing w:before="360" w:after="160"/>
      <w:outlineLvl w:val="0"/>
    </w:pPr>
    <w:rPr>
      <w:rFonts w:ascii="Calibri" w:hAnsi="Calibri" w:eastAsia="Calibri" w:cs="Calibri"/>
      <w:b/>
      <w:bCs/>
      <w:i w:val="0"/>
      <w:color w:val="14532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4532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6A3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Financière — Lot 3 : Incubation des entreprises vertes, Paysage Volanony-Matsiatra (PVM) — RFP/2026/ULA/097 TEFIALA</dc:title>
  <dc:subject/>
  <dc:creator>CARSO — Centre d'Affaires de la Région Sud-Ouest</dc:creator>
  <cp:keywords/>
  <dc:description/>
  <cp:lastModifiedBy>CARSO — Centre d'Affaires de la Région Sud-Ouest</cp:lastModifiedBy>
  <cp:revision>1</cp:revision>
  <dcterms:created xsi:type="dcterms:W3CDTF">2026-10-17T12:34:33Z</dcterms:created>
  <dcterms:modified xsi:type="dcterms:W3CDTF">2026-10-17T12:34:33Z</dcterms:modified>
  <cp:category/>
</cp:coreProperties>
</file>