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LucLoi Business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Pink: unsure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Red: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Consumer to Consumer social media based marketplace for online and local stores.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There is not warehouse operation.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Mission: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Creating the trusted system for eCommerce in the close future.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Helping everyone doing eCommerce from anywhere, fast and simple.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Building a trusted store-maps directory for local store and providing </w:t>
      </w:r>
      <w:r w:rsidDel="00000000" w:rsidR="00000000" w:rsidRPr="00000000">
        <w:rPr>
          <w:color w:val="ff00ff"/>
          <w:rtl w:val="0"/>
        </w:rPr>
        <w:t xml:space="preserve">business management tools.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Customer Segments: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Model: Online platform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Target of Revenue (Customer):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Small &amp; Medium Enterprises and individual sellers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(People who use):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Everyone who has can access to the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Revenue Stream: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Mainstream: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Internal SEO Ads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4 Memberships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Seller Services (Outstanding Package)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Sale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Substream: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Threshold Transactional Fee/Commision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Free: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Regular Internal SEO Ads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Threshold Transactional Fee/Commision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Channel of Revenue: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Direct from consumers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Cost of 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Deposit Cost: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Technical Building Expenses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Fixed Cost: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Technical Maintenance Expenses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Variable Cost: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Operational Expenses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Market After Years of Launching: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Understanding how Vietnamese users/shoppers want to transact: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Negotiation and bargain on prices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Escrow services (Partnership or Our own payment gateway)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Modern UI and 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Social Media Based concept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Rent Offering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Comparison: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Alibaba Business Model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Amazon, which buys goods from suppliers and sells them to customers,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Alibaba has always acted as a middleman, connecting buyers and sellers and facilitating transactions between them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Merchants don't pay to sell products on Taobao--and that fee-free model is a big part of its appeal in China.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Instead,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they pay Alibaba for advertising and other services to allow them to stand out from the crowd.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Much like on Google, the ads from merchants appear with Taobao's product-search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