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55">
      <w:pPr>
        <w:jc w:val="center"/>
        <w:rPr>
          <w:rFonts w:ascii="Calibri" w:cs="Calibri" w:eastAsia="Calibri" w:hAnsi="Calibri"/>
          <w:b w:val="1"/>
          <w:bCs w:val="1"/>
          <w:color w:val="1c4587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Professionalism: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All employees are expected to maintain a high standard of professionalism in behavior, communication, and appearance. Respect towards colleagues, clients, and stakeholders is mandatory at all times.</w:t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Integrity &amp; Honesty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act with honesty, fairness, and transparency in all business dealings. Misrepresentation, fraud, or misuse of company resources will not be tolerated.</w:t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Confidentiality: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Employees are required to protect company information, trade secrets, and client data. Sharing confidential information with unauthorized persons is strictly prohibited.</w:t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Equal Opportunity &amp; Respect: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Discrimination or harassment based on gender, caste, religion, race, age, disability, or any other factor will not be accepted. A culture of inclusion and mutual respect must be upheld.</w:t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 of Company Property: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Company assets, including laptops, phones, vehicles, and intellectual property, must be used responsibly and only for official purposes. Any damage, misuse, or loss must be reported immediately.</w:t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Conflict of Interest: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avoid situations where personal interests conflict with organizational interests. Any such potential conflict should be disclosed to management.</w:t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Workplace Behavior: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Harassment, bullying, intimidation, or inappropriate conduct of any kind is strictly prohibited. Employees must contribute to a safe, positive, and supportive workplace.</w:t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Compliance with Laws &amp; Policies: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All employees are required to comply with applicable laws, labor regulations, and organizational policies at all times.</w:t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Substance Abuse &amp; Misconduct: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Possession, use, or distribution of illegal substances, alcohol abuse, or reporting to work under the influence is strictly prohibited.</w:t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Disciplinary Action: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Any violation of this Code of Conduct may result in disciplinary measures, which may include </w:t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verbal/written warnings, suspension, or termination of employment.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4a86e8"/>
        </w:rPr>
      </w:pPr>
      <w:bookmarkStart w:colFirst="0" w:colLast="0" w:name="_fncdkwn7irh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Acknowledgement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have read, understood, and agreed to follow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 of Conduct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GO-TO Friend Pvt. Ltd.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>
        <w:rPr>
          <w:rFonts w:ascii="Calibri" w:cs="Calibri" w:eastAsia="Calibri" w:hAnsi="Calibri"/>
          <w:b w:val="1"/>
          <w:bCs w:val="1"/>
          <w:rtl w:val="0"/>
        </w:rPr>
        <w:t xml:space="preserve">Employee Name: {employeeName}                    Signature: ___________________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0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