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15 wp14">
  <w:body>
    <w:p>
      <w:pPr>
        <w:pStyle w:val="TitleCN"/>
        <w:jc w:val="center"/>
      </w:pPr>
      <w:r>
        <w:t xml:space="preserve">核心技术综述（比赛/汇报版）</w:t>
      </w:r>
    </w:p>
    <w:p>
      <w:pPr>
        <w:pStyle w:val="SubTitleCN"/>
        <w:jc w:val="center"/>
      </w:pPr>
      <w:r>
        <w:t xml:space="preserve">主题：超临界二氧化碳辅助聚氨酯喷涂“喷枪/喷涂头”相关研究综述</w:t>
      </w:r>
    </w:p>
    <w:p>
      <w:r>
        <w:rPr>
          <w:b/>
        </w:rPr>
        <w:t xml:space="preserve">一句话定义：这类研究的关键，不只是把 CO₂ 加进聚氨酯体系，而是通过喷枪内部混合、喷嘴节流、降压气爆和射流雾化，把“超临界流体优势”真正转化为稳定、可施工、低损耗的喷涂过程。</w:t>
      </w:r>
    </w:p>
    <w:p>
      <w:pPr>
        <w:pStyle w:val="HeadingCN1"/>
      </w:pPr>
      <w:r>
        <w:t xml:space="preserve">一、核心技术名称</w:t>
      </w:r>
    </w:p>
    <w:p>
      <w:r>
        <w:rPr>
          <w:b/>
        </w:rPr>
        <w:t xml:space="preserve">核心技术：超临界二氧化碳辅助聚氨酯喷涂喷枪/喷涂头协同控制技术</w:t>
      </w:r>
    </w:p>
    <w:p>
      <w:r>
        <w:rPr>
          <w:b/>
        </w:rPr>
        <w:t xml:space="preserve">比赛化表达：把“CO₂ 能发泡”这件事，真正变成“枪口能稳定喷出来”的工程能力。</w:t>
      </w:r>
    </w:p>
    <w:p>
      <w:pPr>
        <w:pStyle w:val="HeadingCN1"/>
      </w:pPr>
      <w:r>
        <w:t xml:space="preserve">二、原来存在的核心问题</w:t>
      </w:r>
    </w:p>
    <w:p>
      <w:pPr>
        <w:pStyle w:val="HeadingCN2"/>
      </w:pPr>
      <w:r>
        <w:t xml:space="preserve">高压混合不稳定</w:t>
      </w:r>
    </w:p>
    <w:p>
      <w:r>
        <w:t xml:space="preserve">树脂/组合料与 scCO₂ 在喷枪前端若混合不足，容易导致喷出后液滴分布变宽、局部气爆不稳和材料浪费。</w:t>
      </w:r>
    </w:p>
    <w:p>
      <w:pPr>
        <w:pStyle w:val="HeadingCN2"/>
      </w:pPr>
      <w:r>
        <w:t xml:space="preserve">喷嘴降压过程复杂</w:t>
      </w:r>
    </w:p>
    <w:p>
      <w:r>
        <w:t xml:space="preserve">体系经过喷嘴瞬间减压，既涉及相态变化，也涉及高速射流和二次雾化，稍有不当就会粗滴、喷溅或表面不均。</w:t>
      </w:r>
    </w:p>
    <w:p>
      <w:pPr>
        <w:pStyle w:val="HeadingCN2"/>
      </w:pPr>
      <w:r>
        <w:t xml:space="preserve">结构与工况耦合强</w:t>
      </w:r>
    </w:p>
    <w:p>
      <w:r>
        <w:t xml:space="preserve">喷枪几何、系统压力、CO₂ 含量、施工距离和物料黏度不是独立变量，而是强耦合关系。</w:t>
      </w:r>
    </w:p>
    <w:p>
      <w:pPr>
        <w:pStyle w:val="HeadingCN1"/>
      </w:pPr>
      <w:r>
        <w:t xml:space="preserve">三、我们这个方向分别解决了什么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</w:tblPr>
      <w:tr>
        <w:tc>
          <w:tcPr>
            <w:tcW w:w="2800" w:type="dxa"/>
          </w:tcPr>
          <w:p>
            <w:pPr>
              <w:jc w:val="center"/>
            </w:pPr>
            <w:r>
              <w:rPr>
                <w:b/>
              </w:rPr>
              <w:t xml:space="preserve">维度</w:t>
            </w:r>
          </w:p>
        </w:tc>
        <w:tc>
          <w:tcPr>
            <w:tcW w:w="2800" w:type="dxa"/>
          </w:tcPr>
          <w:p>
            <w:pPr>
              <w:jc w:val="center"/>
            </w:pPr>
            <w:r>
              <w:rPr>
                <w:b/>
              </w:rPr>
              <w:t xml:space="preserve">原始痛点</w:t>
            </w:r>
          </w:p>
        </w:tc>
        <w:tc>
          <w:tcPr>
            <w:tcW w:w="2800" w:type="dxa"/>
          </w:tcPr>
          <w:p>
            <w:pPr>
              <w:jc w:val="center"/>
            </w:pPr>
            <w:r>
              <w:rPr>
                <w:b/>
              </w:rPr>
              <w:t xml:space="preserve">解决逻辑</w:t>
            </w:r>
          </w:p>
        </w:tc>
      </w:tr>
      <w:tr>
        <w:tc>
          <w:tcPr>
            <w:tcW w:w="2800" w:type="dxa"/>
          </w:tcPr>
          <w:p>
            <w:pPr>
              <w:jc w:val="left"/>
            </w:pPr>
            <w:r>
              <w:t xml:space="preserve">喷枪混合</w:t>
            </w:r>
          </w:p>
        </w:tc>
        <w:tc>
          <w:tcPr>
            <w:tcW w:w="2800" w:type="dxa"/>
          </w:tcPr>
          <w:p>
            <w:pPr>
              <w:jc w:val="left"/>
            </w:pPr>
            <w:r>
              <w:t xml:space="preserve">CO₂ 与树脂混合不均，出口状态波动大。</w:t>
            </w:r>
          </w:p>
        </w:tc>
        <w:tc>
          <w:tcPr>
            <w:tcW w:w="2800" w:type="dxa"/>
          </w:tcPr>
          <w:p>
            <w:pPr>
              <w:jc w:val="left"/>
            </w:pPr>
            <w:r>
              <w:t xml:space="preserve">通过高压混合区、静态混合/撞击流设计，提高喷嘴前混相均一性。</w:t>
            </w:r>
          </w:p>
        </w:tc>
      </w:tr>
      <w:tr>
        <w:tc>
          <w:tcPr>
            <w:tcW w:w="2800" w:type="dxa"/>
          </w:tcPr>
          <w:p>
            <w:pPr>
              <w:jc w:val="left"/>
            </w:pPr>
            <w:r>
              <w:t xml:space="preserve">喷嘴节流</w:t>
            </w:r>
          </w:p>
        </w:tc>
        <w:tc>
          <w:tcPr>
            <w:tcW w:w="2800" w:type="dxa"/>
          </w:tcPr>
          <w:p>
            <w:pPr>
              <w:jc w:val="left"/>
            </w:pPr>
            <w:r>
              <w:t xml:space="preserve">减压太猛或结构不当，导致雾化不稳。</w:t>
            </w:r>
          </w:p>
        </w:tc>
        <w:tc>
          <w:tcPr>
            <w:tcW w:w="2800" w:type="dxa"/>
          </w:tcPr>
          <w:p>
            <w:pPr>
              <w:jc w:val="left"/>
            </w:pPr>
            <w:r>
              <w:t xml:space="preserve">利用喷嘴几何与压力控制，把快速降压转化为有利于液滴细化的气爆雾化。</w:t>
            </w:r>
          </w:p>
        </w:tc>
      </w:tr>
      <w:tr>
        <w:tc>
          <w:tcPr>
            <w:tcW w:w="2800" w:type="dxa"/>
          </w:tcPr>
          <w:p>
            <w:pPr>
              <w:jc w:val="left"/>
            </w:pPr>
            <w:r>
              <w:t xml:space="preserve">施工稳定性</w:t>
            </w:r>
          </w:p>
        </w:tc>
        <w:tc>
          <w:tcPr>
            <w:tcW w:w="2800" w:type="dxa"/>
          </w:tcPr>
          <w:p>
            <w:pPr>
              <w:jc w:val="left"/>
            </w:pPr>
            <w:r>
              <w:t xml:space="preserve">温度、黏度、距离变化会放大现场波动。</w:t>
            </w:r>
          </w:p>
        </w:tc>
        <w:tc>
          <w:tcPr>
            <w:tcW w:w="2800" w:type="dxa"/>
          </w:tcPr>
          <w:p>
            <w:pPr>
              <w:jc w:val="left"/>
            </w:pPr>
            <w:r>
              <w:t xml:space="preserve">把喷枪设计与供压、CO₂ 比例、配方体系协同优化，提高容错性。</w:t>
            </w:r>
          </w:p>
        </w:tc>
      </w:tr>
    </w:tbl>
    <w:p>
      <w:pPr>
        <w:pStyle w:val="HeadingCN1"/>
      </w:pPr>
      <w:r>
        <w:t xml:space="preserve">四、关键文献和资料怎么理解</w:t>
      </w:r>
    </w:p>
    <w:p>
      <w:r>
        <w:rPr>
          <w:b/>
        </w:rPr>
        <w:t xml:space="preserve">标准版：目前最贴近喷枪主题的核心文献，是围绕 scCO₂ 喷涂聚氨酯树脂流场和动力学行为开展的数值模拟研究；它们把喷枪从经验型部件，推进成了可以被建模、被解释、被优化的工程对象。</w:t>
      </w:r>
    </w:p>
    <w:p>
      <w:r>
        <w:rPr>
          <w:b/>
        </w:rPr>
        <w:t xml:space="preserve">通俗版：以前更多是在问“能不能喷”，现在开始认真回答“为什么这样喷、怎样喷得更稳”。</w:t>
      </w:r>
    </w:p>
    <w:p>
      <w:pPr>
        <w:pStyle w:val="HeadingCN1"/>
      </w:pPr>
      <w:r>
        <w:t xml:space="preserve">五、翻译整理后的核心结论</w:t>
      </w:r>
    </w:p>
    <w:p>
      <w:pPr>
        <w:pStyle w:val="HeadingCN2"/>
      </w:pPr>
      <w:r>
        <w:t xml:space="preserve">1. 英文 CFD 文献的核心结论</w:t>
      </w:r>
    </w:p>
    <w:p>
      <w:r>
        <w:t xml:space="preserve">围绕超临界 CO₂ 喷涂聚氨酯树脂过程，研究重点是喷枪内部及喷射区域的压力、速度、湍流和流动特征。这说明喷枪不是单纯出口构件，而是决定喷涂稳定性和雾化质量的核心环节。</w:t>
      </w:r>
    </w:p>
    <w:p>
      <w:pPr>
        <w:pStyle w:val="HeadingCN2"/>
      </w:pPr>
      <w:r>
        <w:t xml:space="preserve">2. 中文喷涂研究的可借鉴结论</w:t>
      </w:r>
    </w:p>
    <w:p>
      <w:r>
        <w:t xml:space="preserve">跨体系喷涂研究表明，CO₂ 含量和系统压力对液滴尺寸影响最大，喷涂距离和温度影响相对较小。这对聚氨酯喷枪优化具有直接参考意义。</w:t>
      </w:r>
    </w:p>
    <w:p>
      <w:pPr>
        <w:pStyle w:val="HeadingCN1"/>
      </w:pPr>
      <w:r>
        <w:t xml:space="preserve">六、比赛里最推荐的表述</w:t>
      </w:r>
    </w:p>
    <w:p>
      <w:r>
        <w:rPr>
          <w:b/>
        </w:rPr>
        <w:t xml:space="preserve">标准版：我们研究的不是一般意义上的聚氨酯喷涂设备，而是超临界 CO₂ 辅助体系中最关键的喷枪环节。喷枪决定了高压混合物能否在瞬时降压后稳定完成二次雾化，并进一步影响液滴尺度、材料损耗、喷涂均匀性和最终泡沫/涂层质量。</w:t>
      </w:r>
    </w:p>
    <w:p>
      <w:r>
        <w:rPr>
          <w:b/>
        </w:rPr>
        <w:t xml:space="preserve">通俗版：这个技术的难点，不只是“把 CO₂ 加进去”，而是“怎么从枪口里又稳又细地喷出来”。谁把喷枪搞明白了，谁就真正抓住了这条技术路线的工程命门。</w:t>
      </w:r>
    </w:p>
    <w:p>
      <w:r>
        <w:rPr>
          <w:b/>
        </w:rPr>
        <w:t xml:space="preserve">一句话版：喷枪是把“超临界 CO₂ 优势”变成“可施工结果”的核心部件。</w:t>
      </w:r>
    </w:p>
    <w:p>
      <w:pPr>
        <w:pStyle w:val="HeadingCN1"/>
      </w:pPr>
      <w:r>
        <w:t xml:space="preserve">七、可以直接放在 PPT 上的结论</w:t>
      </w:r>
    </w:p>
    <w:p>
      <w:r>
        <w:rPr>
          <w:b/>
        </w:rPr>
        <w:t xml:space="preserve">• 喷枪/喷嘴不是附属零件，而是超临界 CO₂ 辅助聚氨酯喷涂的关键技术节点。</w:t>
      </w:r>
    </w:p>
    <w:p>
      <w:r>
        <w:rPr>
          <w:b/>
        </w:rPr>
        <w:t xml:space="preserve">• 当前研究重点正从“设备可用”转向“喷枪内部流场与动力学机理可解释”。</w:t>
      </w:r>
    </w:p>
    <w:p>
      <w:r>
        <w:rPr>
          <w:b/>
        </w:rPr>
        <w:t xml:space="preserve">• CO₂ 含量、系统压力、喷嘴几何和混合结构，是决定喷枪性能的四个核心维度。</w:t>
      </w:r>
    </w:p>
    <w:p>
      <w:r>
        <w:rPr>
          <w:b/>
        </w:rPr>
        <w:t xml:space="preserve">• 未来喷枪优化方向将更依赖 CFD 建模与结构—工艺协同设计，而不是单纯经验试错。</w:t>
      </w:r>
    </w:p>
    <w:p>
      <w:pPr>
        <w:pStyle w:val="HeadingCN1"/>
      </w:pPr>
      <w:r>
        <w:t xml:space="preserve">八、参考文献与链接</w:t>
      </w:r>
    </w:p>
    <w:p>
      <w:r>
        <w:t xml:space="preserve">[1] Numerical Simulation of Flow Characteristics for Supercritical CO2-Sprayed Polyurethane Resin</w:t>
      </w:r>
    </w:p>
    <w:p>
      <w:r>
        <w:t xml:space="preserve">链接：https://www.mdpi.com/2073-4360/16/7/940</w:t>
      </w:r>
    </w:p>
    <w:p>
      <w:r>
        <w:t xml:space="preserve">[2] 超临界CO2喷涂聚氨酯树脂动力学行为的数值模拟</w:t>
      </w:r>
    </w:p>
    <w:p>
      <w:r>
        <w:t xml:space="preserve">链接：https://sns.wanfangdata.com.cn/sns/perio/jazgy/?tabId=column&amp;ztext=%E7%A0%94%E7%A9%B6%E6%8A%A5%E5%91%8A&amp;page=1&amp;yearType=1&amp;order=publish_year/issue_nu</w:t>
      </w:r>
    </w:p>
    <w:p>
      <w:r>
        <w:t xml:space="preserve">[3] 浙江华创超临界CO₂辅助聚氨酯喷涂技术</w:t>
      </w:r>
    </w:p>
    <w:p>
      <w:r>
        <w:t xml:space="preserve">链接：https://chem.jgvogel.cn/c1532855.shtml</w:t>
      </w:r>
    </w:p>
    <w:p>
      <w:r>
        <w:t xml:space="preserve">[4] 超临界二氧化碳用于酚醛清漆喷涂的研究</w:t>
      </w:r>
    </w:p>
    <w:p>
      <w:r>
        <w:t xml:space="preserve">链接：https://html.rhhz.net/yykj/html/201904004.htm</w:t>
      </w:r>
    </w:p>
    <w:p>
      <w:r>
        <w:t xml:space="preserve">[5] Supercritical Fluid Spray Application Technology</w:t>
      </w:r>
    </w:p>
    <w:p>
      <w:r>
        <w:t xml:space="preserve">链接：https://p2infohouse.org/ref/25/24795.pdf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eastAsia="等线"/>
      <w:sz w:val="22"/>
    </w:rPr>
  </w:style>
  <w:style w:type="paragraph" w:styleId="TitleCN">
    <w:name w:val="TitleCN"/>
    <w:basedOn w:val="Normal"/>
    <w:pPr>
      <w:jc w:val="center"/>
      <w:spacing w:before="200" w:after="160"/>
    </w:pPr>
    <w:rPr>
      <w:b/>
      <w:rFonts w:eastAsia="等线"/>
      <w:sz w:val="34"/>
    </w:rPr>
  </w:style>
  <w:style w:type="paragraph" w:styleId="SubTitleCN">
    <w:name w:val="SubTitleCN"/>
    <w:basedOn w:val="Normal"/>
    <w:pPr>
      <w:jc w:val="center"/>
      <w:spacing w:after="160"/>
    </w:pPr>
    <w:rPr>
      <w:rFonts w:eastAsia="等线"/>
      <w:sz w:val="20"/>
    </w:rPr>
  </w:style>
  <w:style w:type="paragraph" w:styleId="HeadingCN1">
    <w:name w:val="HeadingCN1"/>
    <w:basedOn w:val="Normal"/>
    <w:pPr>
      <w:spacing w:before="180" w:after="100"/>
    </w:pPr>
    <w:rPr>
      <w:b/>
      <w:rFonts w:eastAsia="等线"/>
      <w:sz w:val="25"/>
    </w:rPr>
  </w:style>
  <w:style w:type="paragraph" w:styleId="HeadingCN2">
    <w:name w:val="HeadingCN2"/>
    <w:basedOn w:val="Normal"/>
    <w:pPr>
      <w:spacing w:before="100" w:after="60"/>
    </w:pPr>
    <w:rPr>
      <w:b/>
      <w:rFonts w:eastAsia="等线"/>
      <w:sz w:val="21"/>
    </w:rPr>
  </w:style>
</w:styles>
</file>

<file path=word/_rels/document.xml.rels>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OpenClaw</Application>
</Properties>
</file>

<file path=docProps/core.xml><?xml version="1.0" encoding="utf-8"?>
<cp:coreProperties xmlns:cp="http://schemas.openxmlformats.org/package/2006/metadata/core-properties" xmlns:dc="http://purl.org/dc/elements/1.1/">
  <dc:title>超临界二氧化碳辅助聚氨酯喷涂喷枪综述_重排版</dc:title>
  <dc:creator>OpenClaw</dc:creator>
</cp:coreProperties>
</file>