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sz w:val="40"/>
        </w:rPr>
        <w:t>超临界流体喷涂应用技术</w:t>
      </w:r>
    </w:p>
    <w:p>
      <w:pPr>
        <w:jc w:val="center"/>
      </w:pPr>
      <w:r>
        <w:rPr>
          <w:i/>
          <w:color w:val="666666"/>
          <w:sz w:val="22"/>
        </w:rPr>
        <w:t>——面向未来的污染预防技术</w:t>
        <w:br/>
        <w:t>Union Carbide Chemicals &amp; Plastics Company Inc.</w:t>
      </w:r>
    </w:p>
    <w:p>
      <w:pPr>
        <w:jc w:val="center"/>
      </w:pPr>
      <w:r>
        <w:rPr>
          <w:color w:val="999999"/>
          <w:sz w:val="18"/>
        </w:rPr>
        <w:t>原文发表于1990年水性与高固体份涂料研讨会</w:t>
        <w:br/>
        <w:t>整理翻译日期：2026年04月%日</w:t>
      </w:r>
    </w:p>
    <w:p/>
    <w:p>
      <w:pPr>
        <w:pStyle w:val="Heading1"/>
      </w:pPr>
      <w:r>
        <w:rPr>
          <w:color w:val="1F497D"/>
        </w:rPr>
        <w:t>摘要</w:t>
      </w:r>
    </w:p>
    <w:p>
      <w:pPr>
        <w:spacing w:after="120"/>
        <w:ind w:hanging="283"/>
      </w:pPr>
      <w:r>
        <w:rPr>
          <w:sz w:val="22"/>
        </w:rPr>
        <w:t>超临界二氧化碳可应用于涂料喷涂，替代用于获得雾化粘度的挥发性有机溶剂。这使得施工方能够在继续使用提供优异涂层性能的高分子量聚合物体系的同时，将VOC排放减少30%至70%。仅需少量中等至慢速蒸发的溶剂用于漆膜融合、流平和重流。</w:t>
      </w:r>
    </w:p>
    <w:p>
      <w:pPr>
        <w:spacing w:after="120"/>
        <w:ind w:hanging="283"/>
      </w:pPr>
      <w:r>
        <w:rPr>
          <w:sz w:val="22"/>
        </w:rPr>
        <w:t>超临界二氧化碳可产生强力雾化，弥补无空气喷涂工艺的缺陷，从而可施加高质量涂料。其喷雾具有与空气喷涂系统相似的细颗粒尺寸和"羽状"喷雾效果，但无需大量空气体积。</w:t>
      </w:r>
    </w:p>
    <w:p>
      <w:pPr>
        <w:pStyle w:val="Heading1"/>
      </w:pPr>
      <w:r>
        <w:rPr>
          <w:color w:val="1F497D"/>
        </w:rPr>
        <w:t>一、研究背景</w:t>
      </w:r>
    </w:p>
    <w:p>
      <w:pPr>
        <w:spacing w:after="120"/>
        <w:ind w:hanging="283"/>
      </w:pPr>
      <w:r>
        <w:rPr>
          <w:sz w:val="22"/>
        </w:rPr>
        <w:t>涂料喷涂过程中的有机溶剂排放是挥发性有机化合物（VOC）空气污染的重要来源。因此，涂料配方商和施工方正面临越来越大的政府压力，需要减少排放并达到《清洁空气法》及各州和地方法规规定的VOC标准。</w:t>
      </w:r>
    </w:p>
    <w:p>
      <w:pPr>
        <w:spacing w:after="120"/>
        <w:ind w:hanging="283"/>
      </w:pPr>
      <w:r>
        <w:rPr>
          <w:sz w:val="22"/>
        </w:rPr>
        <w:t>涂料配方中溶剂的主要功能是降低粘度，使涂料能够雾化成细小的液滴，从而沉积高质量的漆膜。然而，雾化所需的粘度远低于漆膜融合和流平所需的粘度。因此，目前的涂料配方设计使得大部分（如果不是全部）溶剂在喷雾过程中或刚沉积后即蒸发，以防止涂料流挂或下垂。</w:t>
      </w:r>
    </w:p>
    <w:p>
      <w:pPr>
        <w:pStyle w:val="Heading1"/>
      </w:pPr>
      <w:r>
        <w:rPr>
          <w:color w:val="1F497D"/>
        </w:rPr>
        <w:t>二、超临界流体特性</w:t>
      </w:r>
    </w:p>
    <w:p>
      <w:pPr>
        <w:spacing w:after="120"/>
        <w:ind w:hanging="283"/>
      </w:pPr>
      <w:r>
        <w:rPr>
          <w:sz w:val="22"/>
        </w:rPr>
        <w:t>超临界流体之所以有趣且有用，是因为它们具有介于正常液体和气体之间的中间特性。相图上的超临界流体区域对应于流体的临界点或附近的温度和压力，此时液态和气态的性质相似或相同，实际上只存在一个流体相。</w:t>
      </w:r>
    </w:p>
    <w:p>
      <w:pPr>
        <w:pStyle w:val="ListBullet"/>
        <w:spacing w:after="60"/>
      </w:pPr>
      <w:r>
        <w:rPr>
          <w:sz w:val="22"/>
        </w:rPr>
        <w:t>同时具有液体的密度（溶解能力）和气体的低粘度（扩散能力）</w:t>
      </w:r>
    </w:p>
    <w:p>
      <w:pPr>
        <w:pStyle w:val="ListBullet"/>
        <w:spacing w:after="60"/>
      </w:pPr>
      <w:r>
        <w:rPr>
          <w:sz w:val="22"/>
        </w:rPr>
        <w:t>超临界CO₂：临界温度31.1°C，临界压力7.38MPa（73 atm）</w:t>
      </w:r>
    </w:p>
    <w:p>
      <w:pPr>
        <w:pStyle w:val="ListBullet"/>
        <w:spacing w:after="60"/>
      </w:pPr>
      <w:r>
        <w:rPr>
          <w:sz w:val="22"/>
        </w:rPr>
        <w:t>无毒、不可燃、来源广泛（工业副产品）</w:t>
      </w:r>
    </w:p>
    <w:p>
      <w:pPr>
        <w:pStyle w:val="Heading1"/>
      </w:pPr>
      <w:r>
        <w:rPr>
          <w:color w:val="1F497D"/>
        </w:rPr>
        <w:t>三、UNICARB™系统原理</w:t>
      </w:r>
    </w:p>
    <w:p>
      <w:pPr>
        <w:spacing w:after="120"/>
        <w:ind w:hanging="283"/>
      </w:pPr>
      <w:r>
        <w:rPr>
          <w:sz w:val="22"/>
        </w:rPr>
        <w:t>超临界流体作为稀释溶剂，在喷涂前降低高粘度涂料的粘度，使其可被雾化并施涂。</w:t>
      </w:r>
    </w:p>
    <w:p>
      <w:pPr>
        <w:spacing w:after="120"/>
        <w:ind w:hanging="283"/>
      </w:pPr>
      <w:r>
        <w:rPr>
          <w:sz w:val="22"/>
        </w:rPr>
        <w:t>关键技术优势：</w:t>
      </w:r>
    </w:p>
    <w:p>
      <w:pPr>
        <w:pStyle w:val="ListBullet"/>
        <w:spacing w:after="60"/>
      </w:pPr>
      <w:r>
        <w:rPr>
          <w:sz w:val="22"/>
        </w:rPr>
        <w:t>VOC减排30%~70%</w:t>
      </w:r>
    </w:p>
    <w:p>
      <w:pPr>
        <w:pStyle w:val="ListBullet"/>
        <w:spacing w:after="60"/>
      </w:pPr>
      <w:r>
        <w:rPr>
          <w:sz w:val="22"/>
        </w:rPr>
        <w:t>可使用高分子量聚合物，提供更优异的涂层性能</w:t>
      </w:r>
    </w:p>
    <w:p>
      <w:pPr>
        <w:pStyle w:val="ListBullet"/>
        <w:spacing w:after="60"/>
      </w:pPr>
      <w:r>
        <w:rPr>
          <w:sz w:val="22"/>
        </w:rPr>
        <w:t>仅需保留少量中慢干溶剂用于流平和融合</w:t>
      </w:r>
    </w:p>
    <w:p>
      <w:pPr>
        <w:pStyle w:val="ListBullet"/>
        <w:spacing w:after="60"/>
      </w:pPr>
      <w:r>
        <w:rPr>
          <w:sz w:val="22"/>
        </w:rPr>
        <w:t>高固体份配方（high solids），减少溶剂用量同时保持高性能</w:t>
      </w:r>
    </w:p>
    <w:p>
      <w:pPr>
        <w:pStyle w:val="Heading1"/>
      </w:pPr>
      <w:r>
        <w:rPr>
          <w:color w:val="1F497D"/>
        </w:rPr>
        <w:t>四、雾化效果对比</w:t>
      </w:r>
    </w:p>
    <w:p>
      <w:pPr>
        <w:spacing w:after="120"/>
        <w:ind w:hanging="283"/>
      </w:pPr>
      <w:r>
        <w:rPr>
          <w:sz w:val="22"/>
        </w:rPr>
        <w:t>与无气喷涂（airless spray）相比，超临界CO₂喷涂具有显著更好的雾化效果：</w:t>
      </w:r>
    </w:p>
    <w:p>
      <w:pPr>
        <w:pStyle w:val="ListBullet"/>
        <w:spacing w:after="60"/>
      </w:pPr>
      <w:r>
        <w:rPr>
          <w:sz w:val="22"/>
        </w:rPr>
        <w:t>无气喷涂：颗粒较粗，雾化不均匀</w:t>
      </w:r>
    </w:p>
    <w:p>
      <w:pPr>
        <w:pStyle w:val="ListBullet"/>
        <w:spacing w:after="60"/>
      </w:pPr>
      <w:r>
        <w:rPr>
          <w:sz w:val="22"/>
        </w:rPr>
        <w:t>超临界CO₂喷涂：颗粒更细，分布更均匀，接近空气喷涂的雾化质量</w:t>
      </w:r>
    </w:p>
    <w:p>
      <w:pPr>
        <w:pStyle w:val="ListBullet"/>
        <w:spacing w:after="60"/>
      </w:pPr>
      <w:r>
        <w:rPr>
          <w:sz w:val="22"/>
        </w:rPr>
        <w:t>无需大量空气体积，节省设备能耗</w:t>
      </w:r>
    </w:p>
    <w:p>
      <w:pPr>
        <w:pStyle w:val="Heading1"/>
      </w:pPr>
      <w:r>
        <w:rPr>
          <w:color w:val="1F497D"/>
        </w:rPr>
        <w:t>五、适用涂料体系</w:t>
      </w:r>
    </w:p>
    <w:p>
      <w:pPr>
        <w:spacing w:after="120"/>
        <w:ind w:hanging="283"/>
      </w:pPr>
      <w:r>
        <w:rPr>
          <w:sz w:val="22"/>
        </w:rPr>
        <w:t>该技术适用于大多数喷涂涂料，并在以下体系中成功演示：</w:t>
      </w:r>
    </w:p>
    <w:p>
      <w:pPr>
        <w:pStyle w:val="ListBullet"/>
        <w:spacing w:after="60"/>
      </w:pPr>
      <w:r>
        <w:rPr>
          <w:sz w:val="22"/>
        </w:rPr>
        <w:t>清漆系统（clear systems）</w:t>
      </w:r>
    </w:p>
    <w:p>
      <w:pPr>
        <w:pStyle w:val="ListBullet"/>
        <w:spacing w:after="60"/>
      </w:pPr>
      <w:r>
        <w:rPr>
          <w:sz w:val="22"/>
        </w:rPr>
        <w:t>着色剂系统（pigmented systems）</w:t>
      </w:r>
    </w:p>
    <w:p>
      <w:pPr>
        <w:pStyle w:val="ListBullet"/>
        <w:spacing w:after="60"/>
      </w:pPr>
      <w:r>
        <w:rPr>
          <w:sz w:val="22"/>
        </w:rPr>
        <w:t>金属涂料系统（metallic systems）</w:t>
      </w:r>
    </w:p>
    <w:p>
      <w:pPr>
        <w:spacing w:after="120"/>
        <w:ind w:hanging="283"/>
      </w:pPr>
      <w:r>
        <w:rPr>
          <w:sz w:val="22"/>
        </w:rPr>
        <w:t>已成功应用的涂料类型：</w:t>
      </w:r>
    </w:p>
    <w:p>
      <w:pPr>
        <w:pStyle w:val="ListBullet"/>
        <w:spacing w:after="60"/>
      </w:pPr>
      <w:r>
        <w:rPr>
          <w:sz w:val="22"/>
        </w:rPr>
        <w:t>丙烯酸树脂（acrylics）</w:t>
      </w:r>
    </w:p>
    <w:p>
      <w:pPr>
        <w:pStyle w:val="ListBullet"/>
        <w:spacing w:after="60"/>
      </w:pPr>
      <w:r>
        <w:rPr>
          <w:sz w:val="22"/>
        </w:rPr>
        <w:t>聚酯（polyesters）</w:t>
      </w:r>
    </w:p>
    <w:p>
      <w:pPr>
        <w:pStyle w:val="ListBullet"/>
        <w:spacing w:after="60"/>
      </w:pPr>
      <w:r>
        <w:rPr>
          <w:sz w:val="22"/>
        </w:rPr>
        <w:t>纤维素类（cellulosics）</w:t>
      </w:r>
    </w:p>
    <w:p>
      <w:pPr>
        <w:pStyle w:val="ListBullet"/>
        <w:spacing w:after="60"/>
      </w:pPr>
      <w:r>
        <w:rPr>
          <w:sz w:val="22"/>
        </w:rPr>
        <w:t>醇酸树脂（alkyds）</w:t>
      </w:r>
    </w:p>
    <w:p>
      <w:pPr>
        <w:pStyle w:val="ListBullet"/>
        <w:spacing w:after="60"/>
      </w:pPr>
      <w:r>
        <w:rPr>
          <w:sz w:val="22"/>
        </w:rPr>
        <w:t>商业涂料和喷漆</w:t>
      </w:r>
    </w:p>
    <w:p>
      <w:pPr>
        <w:pStyle w:val="Heading1"/>
      </w:pPr>
      <w:r>
        <w:rPr>
          <w:color w:val="1F497D"/>
        </w:rPr>
        <w:t>六、技术经济性</w:t>
      </w:r>
    </w:p>
    <w:p>
      <w:pPr>
        <w:spacing w:after="120"/>
        <w:ind w:hanging="283"/>
      </w:pPr>
      <w:r>
        <w:rPr>
          <w:sz w:val="22"/>
        </w:rPr>
        <w:t>UNICARB™系统可在现有涂装作业基础上进行改造，利用现有设备投资。</w:t>
      </w:r>
    </w:p>
    <w:p>
      <w:pPr>
        <w:pStyle w:val="ListBullet"/>
        <w:spacing w:after="60"/>
      </w:pPr>
      <w:r>
        <w:rPr>
          <w:sz w:val="22"/>
        </w:rPr>
        <w:t>无需完全更换现有喷涂设备</w:t>
      </w:r>
    </w:p>
    <w:p>
      <w:pPr>
        <w:pStyle w:val="ListBullet"/>
        <w:spacing w:after="60"/>
      </w:pPr>
      <w:r>
        <w:rPr>
          <w:sz w:val="22"/>
        </w:rPr>
        <w:t>改造后可使用原有涂料体系</w:t>
      </w:r>
    </w:p>
    <w:p>
      <w:pPr>
        <w:pStyle w:val="ListBullet"/>
        <w:spacing w:after="60"/>
      </w:pPr>
      <w:r>
        <w:rPr>
          <w:sz w:val="22"/>
        </w:rPr>
        <w:t>减少溶剂采购和处置成本</w:t>
      </w:r>
    </w:p>
    <w:p>
      <w:pPr>
        <w:pStyle w:val="ListBullet"/>
        <w:spacing w:after="60"/>
      </w:pPr>
      <w:r>
        <w:rPr>
          <w:sz w:val="22"/>
        </w:rPr>
        <w:t>符合日趋严格的环保法规要求</w:t>
      </w:r>
    </w:p>
    <w:p>
      <w:pPr>
        <w:pStyle w:val="Heading1"/>
      </w:pPr>
      <w:r>
        <w:rPr>
          <w:color w:val="1F497D"/>
        </w:rPr>
        <w:t>七、应用领域</w:t>
      </w:r>
    </w:p>
    <w:p>
      <w:pPr>
        <w:spacing w:after="120"/>
        <w:ind w:hanging="283"/>
      </w:pPr>
      <w:r>
        <w:rPr>
          <w:sz w:val="22"/>
        </w:rPr>
        <w:t>该技术可广泛应用于：</w:t>
      </w:r>
    </w:p>
    <w:p>
      <w:pPr>
        <w:pStyle w:val="ListBullet"/>
        <w:spacing w:after="60"/>
      </w:pPr>
      <w:r>
        <w:rPr>
          <w:sz w:val="22"/>
        </w:rPr>
        <w:t>木器家具涂装（UNICARB名称的由来应用领域）</w:t>
      </w:r>
    </w:p>
    <w:p>
      <w:pPr>
        <w:pStyle w:val="ListBullet"/>
        <w:spacing w:after="60"/>
      </w:pPr>
      <w:r>
        <w:rPr>
          <w:sz w:val="22"/>
        </w:rPr>
        <w:t>金属制品表面涂装</w:t>
      </w:r>
    </w:p>
    <w:p>
      <w:pPr>
        <w:pStyle w:val="ListBullet"/>
        <w:spacing w:after="60"/>
      </w:pPr>
      <w:r>
        <w:rPr>
          <w:sz w:val="22"/>
        </w:rPr>
        <w:t>塑料制品涂装</w:t>
      </w:r>
    </w:p>
    <w:p>
      <w:pPr>
        <w:pStyle w:val="ListBullet"/>
        <w:spacing w:after="60"/>
      </w:pPr>
      <w:r>
        <w:rPr>
          <w:sz w:val="22"/>
        </w:rPr>
        <w:t>建筑装饰涂料</w:t>
      </w:r>
    </w:p>
    <w:p>
      <w:pPr>
        <w:pStyle w:val="ListBullet"/>
        <w:spacing w:after="60"/>
      </w:pPr>
      <w:r>
        <w:rPr>
          <w:sz w:val="22"/>
        </w:rPr>
        <w:t>工业维护涂料</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由梦火claw整理翻译 · 2026年04月%日 · 仅供参考学习</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