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27250" cy="704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704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48" w:after="0"/>
        <w:ind w:left="0" w:right="0" w:firstLine="0"/>
        <w:jc w:val="center"/>
      </w:pPr>
      <w:r>
        <w:rPr>
          <w:u w:val="single" w:color="4f81bc"/>
          <w:rFonts w:ascii="Cambria" w:hAnsi="Cambria" w:eastAsia="Cambria"/>
          <w:b w:val="0"/>
          <w:i w:val="0"/>
          <w:color w:val="4F81BD"/>
          <w:sz w:val="40"/>
        </w:rPr>
        <w:t>UNEXPECTED CFC-11 EMISSIONS</w:t>
      </w:r>
      <w:r>
        <w:rPr>
          <w:rFonts w:ascii="Cambria" w:hAnsi="Cambria" w:eastAsia="Cambria"/>
          <w:b w:val="0"/>
          <w:i w:val="0"/>
          <w:color w:val="4F81BD"/>
          <w:sz w:val="40"/>
        </w:rPr>
        <w:t xml:space="preserve"> </w:t>
      </w:r>
    </w:p>
    <w:p>
      <w:pPr>
        <w:autoSpaceDN w:val="0"/>
        <w:autoSpaceDE w:val="0"/>
        <w:widowControl/>
        <w:spacing w:line="245" w:lineRule="auto" w:before="270" w:after="0"/>
        <w:ind w:left="144" w:right="144" w:firstLine="0"/>
        <w:jc w:val="center"/>
      </w:pPr>
      <w:r>
        <w:rPr>
          <w:rFonts w:ascii="Cambria" w:hAnsi="Cambria" w:eastAsia="Cambria"/>
          <w:b/>
          <w:i w:val="0"/>
          <w:color w:val="595959"/>
          <w:sz w:val="20"/>
        </w:rPr>
        <w:t xml:space="preserve">BRIEFING TO THE 43RD MEETING OF THE OPEN-ENDED WORKING GROUP OF THE PARTIES </w:t>
      </w:r>
      <w:r>
        <w:rPr>
          <w:rFonts w:ascii="Cambria" w:hAnsi="Cambria" w:eastAsia="Cambria"/>
          <w:b/>
          <w:i w:val="0"/>
          <w:color w:val="595959"/>
          <w:sz w:val="20"/>
        </w:rPr>
        <w:t>TO THE MONTREAL PROTOCOL (OEWG 43)</w:t>
      </w:r>
    </w:p>
    <w:p>
      <w:pPr>
        <w:autoSpaceDN w:val="0"/>
        <w:autoSpaceDE w:val="0"/>
        <w:widowControl/>
        <w:spacing w:line="240" w:lineRule="auto" w:before="406" w:after="296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595959"/>
          <w:sz w:val="20"/>
        </w:rPr>
        <w:t xml:space="preserve">JULY 2021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58"/>
      </w:tblGrid>
      <w:tr>
        <w:trPr>
          <w:trHeight w:hRule="exact" w:val="418"/>
        </w:trPr>
        <w:tc>
          <w:tcPr>
            <w:tcW w:type="dxa" w:w="9538"/>
            <w:tcBorders/>
            <w:shd w:fill="4f81b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8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2"/>
              </w:rPr>
              <w:t xml:space="preserve">TABLE OF CONTENTS </w:t>
            </w:r>
          </w:p>
        </w:tc>
      </w:tr>
    </w:tbl>
    <w:p>
      <w:pPr>
        <w:autoSpaceDN w:val="0"/>
        <w:autoSpaceDE w:val="0"/>
        <w:widowControl/>
        <w:spacing w:line="240" w:lineRule="auto" w:before="120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0"/>
        </w:rPr>
        <w:t>EXECUTIVE SUMMARY ............................................................................................................................................................. 1</w:t>
      </w:r>
    </w:p>
    <w:p>
      <w:pPr>
        <w:autoSpaceDN w:val="0"/>
        <w:autoSpaceDE w:val="0"/>
        <w:widowControl/>
        <w:spacing w:line="240" w:lineRule="auto" w:before="154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0"/>
        </w:rPr>
        <w:t>EIA INVESTIGATIVE FINDINGS .............................................................................................................................................. 2</w:t>
      </w:r>
    </w:p>
    <w:p>
      <w:pPr>
        <w:autoSpaceDN w:val="0"/>
        <w:autoSpaceDE w:val="0"/>
        <w:widowControl/>
        <w:spacing w:line="240" w:lineRule="auto" w:before="158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0"/>
        </w:rPr>
        <w:t>RELEVANT SCIENTIFIC FINDINGS ........................................................................................................................................ 2</w:t>
      </w:r>
    </w:p>
    <w:p>
      <w:pPr>
        <w:autoSpaceDN w:val="0"/>
        <w:autoSpaceDE w:val="0"/>
        <w:widowControl/>
        <w:spacing w:line="240" w:lineRule="auto" w:before="154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0"/>
        </w:rPr>
        <w:t>UPDATED TEAP FINDINGS ..................................................................................................................................................... 4</w:t>
      </w:r>
    </w:p>
    <w:p>
      <w:pPr>
        <w:autoSpaceDN w:val="0"/>
        <w:autoSpaceDE w:val="0"/>
        <w:widowControl/>
        <w:spacing w:line="238" w:lineRule="auto" w:before="156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0"/>
        </w:rPr>
        <w:t>INFORMATION ON CHINA’S DOMESTIC RESPONSE ....................................................................................................... 6</w:t>
      </w:r>
    </w:p>
    <w:p>
      <w:pPr>
        <w:autoSpaceDN w:val="0"/>
        <w:autoSpaceDE w:val="0"/>
        <w:widowControl/>
        <w:spacing w:line="240" w:lineRule="auto" w:before="158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0"/>
        </w:rPr>
        <w:t>AREAS FOR FURTHER DISCUSSION AND INFORMATION GATHERING ................................................................... 7</w:t>
      </w:r>
    </w:p>
    <w:p>
      <w:pPr>
        <w:autoSpaceDN w:val="0"/>
        <w:autoSpaceDE w:val="0"/>
        <w:widowControl/>
        <w:spacing w:line="240" w:lineRule="auto" w:before="156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0"/>
        </w:rPr>
        <w:t>CONCLUSION ................................................................................................................................................................................ 8</w:t>
      </w:r>
    </w:p>
    <w:p>
      <w:pPr>
        <w:autoSpaceDN w:val="0"/>
        <w:autoSpaceDE w:val="0"/>
        <w:widowControl/>
        <w:spacing w:line="240" w:lineRule="auto" w:before="154" w:after="0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0"/>
        </w:rPr>
        <w:t>ANNEX 1: LIST OF KEY MONTREAL PROTOCOL DOCUMENTS RELEVANT TO CFC-11 DISCUSSION ............. 9</w:t>
      </w:r>
    </w:p>
    <w:p>
      <w:pPr>
        <w:autoSpaceDN w:val="0"/>
        <w:autoSpaceDE w:val="0"/>
        <w:widowControl/>
        <w:spacing w:line="240" w:lineRule="auto" w:before="158" w:after="704"/>
        <w:ind w:left="0" w:right="0" w:firstLine="0"/>
        <w:jc w:val="center"/>
      </w:pPr>
      <w:r>
        <w:rPr>
          <w:rFonts w:ascii="Cambria" w:hAnsi="Cambria" w:eastAsia="Cambria"/>
          <w:b/>
          <w:i w:val="0"/>
          <w:color w:val="000000"/>
          <w:sz w:val="20"/>
        </w:rPr>
        <w:t>ANNEX 2: DECISIONS TAKEN ON UNEXPECTED CFC-11 EMISSIONS ..................................................................... 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58"/>
      </w:tblGrid>
      <w:tr>
        <w:trPr>
          <w:trHeight w:hRule="exact" w:val="418"/>
        </w:trPr>
        <w:tc>
          <w:tcPr>
            <w:tcW w:type="dxa" w:w="9538"/>
            <w:tcBorders/>
            <w:shd w:fill="4f81b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8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2"/>
              </w:rPr>
              <w:t xml:space="preserve">EXECUTIVE SUMMARY </w:t>
            </w:r>
          </w:p>
        </w:tc>
      </w:tr>
    </w:tbl>
    <w:p>
      <w:pPr>
        <w:autoSpaceDN w:val="0"/>
        <w:autoSpaceDE w:val="0"/>
        <w:widowControl/>
        <w:spacing w:line="245" w:lineRule="auto" w:before="496" w:after="0"/>
        <w:ind w:left="88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As we approach three years since scientists first reported unexpected large-scale CFC-11 emissions,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this report examines the current state of knowledge and pinpoints remaining critical gaps in data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understanding. EIA investigations uncovered widespread use of CFC-11 in China’s polyurethane (PU)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foam sector, with over 85% of the companies surveyed confirming use of CFC-11 in their operations.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Data from Chinese enforcement efforts so far has not matched the extent of EIA findings or explained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scale of emissions. However, several nation-wide and systemic measures have been put in place </w:t>
      </w:r>
      <w:r>
        <w:rPr>
          <w:rFonts w:ascii="Cambria" w:hAnsi="Cambria" w:eastAsia="Cambria"/>
          <w:b w:val="0"/>
          <w:i w:val="0"/>
          <w:color w:val="000000"/>
          <w:sz w:val="22"/>
        </w:rPr>
        <w:t>by the Government of China to improve</w:t>
      </w:r>
      <w:r>
        <w:rPr>
          <w:rFonts w:ascii="Cambria" w:hAnsi="Cambria" w:eastAsia="Cambria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 xml:space="preserve"> monitoring and enforcement efforts. Two Nature papers</w:t>
          </w:r>
        </w:hyperlink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published in early 2021 suggest that </w:t>
      </w:r>
      <w:r>
        <w:rPr>
          <w:rFonts w:ascii="Cambria" w:hAnsi="Cambria" w:eastAsia="Cambria"/>
          <w:b w:val="0"/>
          <w:i w:val="0"/>
          <w:color w:val="000000"/>
          <w:sz w:val="22"/>
        </w:rPr>
        <w:hyperlink r:id="rId10" w:history="1">
          <w:r>
            <w:rPr>
              <w:rStyle w:val="Hyperlink"/>
            </w:rPr>
            <w:t>CFC-11 emissions are back on a downward trajectory,</w:t>
          </w:r>
        </w:hyperlink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</w:t>
      </w:r>
      <w:r>
        <w:rPr>
          <w:rFonts w:ascii="Cambria" w:hAnsi="Cambria" w:eastAsia="Cambria"/>
          <w:b w:val="0"/>
          <w:i w:val="0"/>
          <w:color w:val="000000"/>
          <w:sz w:val="22"/>
        </w:rPr>
        <w:t>potentially avoiding substantial delays in the recovery of the ozone layer.</w:t>
      </w:r>
    </w:p>
    <w:p>
      <w:pPr>
        <w:autoSpaceDN w:val="0"/>
        <w:autoSpaceDE w:val="0"/>
        <w:widowControl/>
        <w:spacing w:line="245" w:lineRule="auto" w:before="238" w:after="0"/>
        <w:ind w:left="88" w:right="6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On the other hand, new scientific findings suggest the unaccounted emissions might be even larger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than estimated in 2018; further expanding the gap in what has been verified about the illegal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production and use of CFC-11, potential related emissions of CTC and CFC-12, and the size of the </w:t>
      </w:r>
    </w:p>
    <w:p>
      <w:pPr>
        <w:autoSpaceDN w:val="0"/>
        <w:autoSpaceDE w:val="0"/>
        <w:widowControl/>
        <w:spacing w:line="240" w:lineRule="auto" w:before="272" w:after="0"/>
        <w:ind w:left="0" w:right="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 </w:t>
      </w:r>
    </w:p>
    <w:p>
      <w:pPr>
        <w:sectPr>
          <w:pgSz w:w="12240" w:h="15840"/>
          <w:pgMar w:top="820" w:right="1330" w:bottom="476" w:left="13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88" w:right="6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remaining bank of CFC-11 created by the illegal activity. This underlines the need for Parties to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Montreal Protocol and its institutions to continue to make all efforts to address data gaps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enhance global understanding of the drivers of illegal CFC-11 production and use and the resulting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emissions. Such understanding is necessary in order to comprehensively respond and ensure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sustained implementation of Montreal Protocol controls. </w:t>
      </w:r>
    </w:p>
    <w:p>
      <w:pPr>
        <w:autoSpaceDN w:val="0"/>
        <w:autoSpaceDE w:val="0"/>
        <w:widowControl/>
        <w:spacing w:line="245" w:lineRule="auto" w:before="238" w:after="240"/>
        <w:ind w:left="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Recommendations discussed include enhancing understanding of what happened based on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enforcement efforts in China, as well as new estimates of the CFC-11 bank. The scale of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>unaccounted emissions and other higher than expected emissions of controlled chemicals (e.g. HFC-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23, CFC-12) compel a very serious look at the current monitoring, reporting, verification (MRV)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requirements and procedures of the Montreal Protocol. The Montreal Protocol must undertake 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comprehensive review of its monitoring and enforcement regime to ensure it is effective in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implementing and sustaining implementation of existing controls, combating the illegal trade in ODS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and preparing for new controls on HFCs.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58"/>
      </w:tblGrid>
      <w:tr>
        <w:trPr>
          <w:trHeight w:hRule="exact" w:val="378"/>
        </w:trPr>
        <w:tc>
          <w:tcPr>
            <w:tcW w:type="dxa" w:w="9538"/>
            <w:tcBorders/>
            <w:shd w:fill="4f81b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2"/>
              </w:rPr>
              <w:t>EIA INVESTIGATIVE FINDINGS</w:t>
            </w:r>
          </w:p>
        </w:tc>
      </w:tr>
    </w:tbl>
    <w:p>
      <w:pPr>
        <w:autoSpaceDN w:val="0"/>
        <w:autoSpaceDE w:val="0"/>
        <w:widowControl/>
        <w:spacing w:line="245" w:lineRule="auto" w:before="240" w:after="0"/>
        <w:ind w:left="88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>Following initial findings of unexplained atmospheric emissions of CFC-11, EIA investigate</w:t>
      </w:r>
      <w:r>
        <w:rPr>
          <w:rFonts w:ascii="Cambria" w:hAnsi="Cambria" w:eastAsia="Cambria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d the use </w:t>
          </w:r>
        </w:hyperlink>
      </w:r>
      <w:r>
        <w:rPr>
          <w:rFonts w:ascii="Cambria" w:hAnsi="Cambria" w:eastAsia="Cambria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 xml:space="preserve">of the banned ozone-depleting substance (ODS) in China in the spring of 2018. In our </w:t>
          </w:r>
        </w:hyperlink>
      </w:r>
      <w:r>
        <w:rPr>
          <w:rFonts w:ascii="Cambria" w:hAnsi="Cambria" w:eastAsia="Cambria"/>
          <w:b w:val="0"/>
          <w:i w:val="0"/>
          <w:color w:val="000000"/>
          <w:sz w:val="22"/>
        </w:rPr>
        <w:t>report,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</w:t>
      </w:r>
      <w:r>
        <w:rPr>
          <w:u w:val="single" w:color="1154cc"/>
          <w:rFonts w:ascii="Cambria" w:hAnsi="Cambria" w:eastAsia="Cambria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>Blowing</w:t>
          </w:r>
        </w:hyperlink>
      </w:r>
      <w:r>
        <w:rPr>
          <w:rFonts w:ascii="Cambria" w:hAnsi="Cambria" w:eastAsia="Cambria"/>
          <w:b w:val="0"/>
          <w:i w:val="0"/>
          <w:color w:val="1155CC"/>
          <w:sz w:val="22"/>
        </w:rPr>
        <w:t xml:space="preserve"> </w:t>
      </w:r>
      <w:r>
        <w:rPr>
          <w:u w:val="single" w:color="1154cc"/>
          <w:rFonts w:ascii="Cambria" w:hAnsi="Cambria" w:eastAsia="Cambria"/>
          <w:b w:val="0"/>
          <w:i w:val="0"/>
          <w:color w:val="1155CC"/>
          <w:sz w:val="22"/>
        </w:rPr>
        <w:hyperlink r:id="rId11" w:history="1">
          <w:r>
            <w:rPr>
              <w:rStyle w:val="Hyperlink"/>
            </w:rPr>
            <w:t>It: Illegal Production and Use of Banned CFC-11 in China's Foam Blowing Industry</w:t>
          </w:r>
        </w:hyperlink>
      </w:r>
      <w:r>
        <w:rPr>
          <w:rFonts w:ascii="Cambria" w:hAnsi="Cambria" w:eastAsia="Cambria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,</w:t>
          </w:r>
        </w:hyperlink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EIA uncovered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widespread use of CFC-11 in China’s PU foam sector, with over 85% of the companies surveyed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confirming use of CFC-11 in their operations. Companies admitted that CFC-11 was the predominant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blowing agent in their foam production, accounting for 70-100% of their total product. </w:t>
      </w:r>
    </w:p>
    <w:p>
      <w:pPr>
        <w:autoSpaceDN w:val="0"/>
        <w:autoSpaceDE w:val="0"/>
        <w:widowControl/>
        <w:spacing w:line="245" w:lineRule="auto" w:before="238" w:after="0"/>
        <w:ind w:left="88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 November 2018, EIA shared additional findings and identified unanswered questions from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initial investigation in </w:t>
      </w:r>
      <w:r>
        <w:rPr>
          <w:u w:val="single" w:color="1154cc"/>
          <w:rFonts w:ascii="Cambria" w:hAnsi="Cambria" w:eastAsia="Cambria"/>
          <w:b w:val="0"/>
          <w:i w:val="0"/>
          <w:color w:val="1155CC"/>
          <w:sz w:val="22"/>
        </w:rPr>
        <w:hyperlink r:id="rId12" w:history="1">
          <w:r>
            <w:rPr>
              <w:rStyle w:val="Hyperlink"/>
            </w:rPr>
            <w:t>Tip of the Iceberg: Implications for Illegal CFC Production and Use</w:t>
          </w:r>
        </w:hyperlink>
      </w:r>
      <w:r>
        <w:rPr>
          <w:rFonts w:ascii="Cambria" w:hAnsi="Cambria" w:eastAsia="Cambria"/>
          <w:b w:val="0"/>
          <w:i w:val="0"/>
          <w:color w:val="000000"/>
          <w:sz w:val="22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Independent laboratory testing confirmed the presence of CFC-11 in multiple foam samples collected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 China during EIA’s investigation. Additionally, EIA presented concerns about knowledge gaps,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including questions over emissions of CFC-12, unaccounted CTC emissions (a feedstock chemical for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CFC-11) and presented an estimate for the potential size of the CFC-11 bank created by the illegal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production and use. EIA called for a comprehensive review of the Montreal Protocol monitoring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enforcement mechanisms, and urged Parties to strengthen enforcement efforts at the domestic level. </w:t>
      </w:r>
    </w:p>
    <w:p>
      <w:pPr>
        <w:autoSpaceDN w:val="0"/>
        <w:autoSpaceDE w:val="0"/>
        <w:widowControl/>
        <w:spacing w:line="245" w:lineRule="auto" w:before="238" w:after="240"/>
        <w:ind w:left="88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 the 30th Meeting of the Parties to the Montreal Protocol (MOP30), the scientific findings alongside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EIA’s revelations prompted a strong response from the Parties, with a decision agreed on immediate </w:t>
      </w:r>
      <w:r>
        <w:rPr>
          <w:rFonts w:ascii="Cambria" w:hAnsi="Cambria" w:eastAsia="Cambria"/>
          <w:b w:val="0"/>
          <w:i w:val="0"/>
          <w:color w:val="000000"/>
          <w:sz w:val="22"/>
        </w:rPr>
        <w:t>steps to be taken to address CFC-11 emissions.</w:t>
      </w:r>
      <w:r>
        <w:rPr>
          <w:rFonts w:ascii="Cambria" w:hAnsi="Cambria" w:eastAsia="Cambria"/>
          <w:b w:val="0"/>
          <w:i w:val="0"/>
          <w:color w:val="000000"/>
          <w:sz w:val="14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58"/>
      </w:tblGrid>
      <w:tr>
        <w:trPr>
          <w:trHeight w:hRule="exact" w:val="380"/>
        </w:trPr>
        <w:tc>
          <w:tcPr>
            <w:tcW w:type="dxa" w:w="9538"/>
            <w:tcBorders/>
            <w:shd w:fill="4f81b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2"/>
              </w:rPr>
              <w:t>RELEVANT SCIENTIFIC FINDINGS</w:t>
            </w:r>
          </w:p>
        </w:tc>
      </w:tr>
    </w:tbl>
    <w:p>
      <w:pPr>
        <w:autoSpaceDN w:val="0"/>
        <w:autoSpaceDE w:val="0"/>
        <w:widowControl/>
        <w:spacing w:line="245" w:lineRule="auto" w:before="238" w:after="0"/>
        <w:ind w:left="88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Atmospheric measurements demonstrate increased emissions of CFC-11 starting in 2013.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emissions were estimated to be ~13 Gigagrams (Gg), or 13,000 tonnes, per year higher over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2014-2016 period, compared with 2002-12. By 2019, emissions of CFC-11 leveled off to pre-2013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levels. Over the 2012-2019 period, cumulative unexpected emissions are estimated to be 120-440 </w:t>
      </w:r>
    </w:p>
    <w:p>
      <w:pPr>
        <w:autoSpaceDN w:val="0"/>
        <w:autoSpaceDE w:val="0"/>
        <w:widowControl/>
        <w:spacing w:line="238" w:lineRule="auto" w:before="1524" w:after="0"/>
        <w:ind w:left="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1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Decision XXX/3. Unexpected Emissions of Trichlorofluoromethane (CFC-11). </w:t>
      </w:r>
    </w:p>
    <w:p>
      <w:pPr>
        <w:autoSpaceDN w:val="0"/>
        <w:autoSpaceDE w:val="0"/>
        <w:widowControl/>
        <w:spacing w:line="240" w:lineRule="auto" w:before="252" w:after="0"/>
        <w:ind w:left="0" w:right="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2 </w:t>
      </w:r>
    </w:p>
    <w:p>
      <w:pPr>
        <w:sectPr>
          <w:pgSz w:w="12240" w:h="15840"/>
          <w:pgMar w:top="720" w:right="1330" w:bottom="476" w:left="13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Gg.</w:t>
      </w:r>
      <w:r>
        <w:rPr>
          <w:rFonts w:ascii="Cambria" w:hAnsi="Cambria" w:eastAsia="Cambria"/>
          <w:b w:val="0"/>
          <w:i w:val="0"/>
          <w:color w:val="000000"/>
          <w:sz w:val="14"/>
        </w:rPr>
        <w:t>2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Following is a summary of pertinent scientific findings related to the unexplained CFC-11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emissions, several of which are also covered in the 2021 Scientific Assessment Panel report. </w:t>
      </w:r>
    </w:p>
    <w:p>
      <w:pPr>
        <w:autoSpaceDN w:val="0"/>
        <w:autoSpaceDE w:val="0"/>
        <w:widowControl/>
        <w:spacing w:line="245" w:lineRule="auto" w:before="240" w:after="0"/>
        <w:ind w:left="0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Scientists have reported that a majority of the emissions originated from Eastern Mainland China, </w:t>
      </w:r>
      <w:r>
        <w:rPr>
          <w:rFonts w:ascii="Cambria" w:hAnsi="Cambria" w:eastAsia="Cambria"/>
          <w:b w:val="0"/>
          <w:i w:val="0"/>
          <w:color w:val="000000"/>
          <w:sz w:val="22"/>
        </w:rPr>
        <w:t>which accounted for 60% ± 40% of the global CFC-11 increase.</w:t>
      </w:r>
      <w:r>
        <w:rPr>
          <w:rFonts w:ascii="Cambria" w:hAnsi="Cambria" w:eastAsia="Cambria"/>
          <w:b w:val="0"/>
          <w:i w:val="0"/>
          <w:color w:val="000000"/>
          <w:sz w:val="14"/>
        </w:rPr>
        <w:t>3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Scientists have also been clear that,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despite uncertainties over the size of the historic CFC-11 bank, the increase in CFC-11 was from new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production and use and did not match the estimated emissions from banks. </w:t>
      </w:r>
    </w:p>
    <w:p>
      <w:pPr>
        <w:autoSpaceDN w:val="0"/>
        <w:autoSpaceDE w:val="0"/>
        <w:widowControl/>
        <w:spacing w:line="245" w:lineRule="auto" w:before="240" w:after="0"/>
        <w:ind w:left="0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According to the SAP 2021 report, recovery of the stratospheric ozone hole will not be significantly </w:t>
      </w:r>
      <w:r>
        <w:rPr>
          <w:rFonts w:ascii="Cambria" w:hAnsi="Cambria" w:eastAsia="Cambria"/>
          <w:b w:val="0"/>
          <w:i w:val="0"/>
          <w:color w:val="000000"/>
          <w:sz w:val="22"/>
        </w:rPr>
        <w:t>delayed by the unexpected emissions.</w:t>
      </w:r>
      <w:r>
        <w:rPr>
          <w:rFonts w:ascii="Cambria" w:hAnsi="Cambria" w:eastAsia="Cambria"/>
          <w:b w:val="0"/>
          <w:i w:val="0"/>
          <w:color w:val="000000"/>
          <w:sz w:val="14"/>
        </w:rPr>
        <w:t>4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This assumes, however, future compliance with the ban on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CFC-11. If emissions continued unabated at 2018 levels, recovery of the ozone hole could be delayed </w:t>
      </w:r>
      <w:r>
        <w:rPr>
          <w:rFonts w:ascii="Cambria" w:hAnsi="Cambria" w:eastAsia="Cambria"/>
          <w:b w:val="0"/>
          <w:i w:val="0"/>
          <w:color w:val="000000"/>
          <w:sz w:val="22"/>
        </w:rPr>
        <w:t>by up to 18 years.</w:t>
      </w:r>
      <w:r>
        <w:rPr>
          <w:rFonts w:ascii="Cambria" w:hAnsi="Cambria" w:eastAsia="Cambria"/>
          <w:b w:val="0"/>
          <w:i w:val="0"/>
          <w:color w:val="000000"/>
          <w:sz w:val="14"/>
        </w:rPr>
        <w:t>5</w:t>
      </w:r>
    </w:p>
    <w:p>
      <w:pPr>
        <w:autoSpaceDN w:val="0"/>
        <w:autoSpaceDE w:val="0"/>
        <w:widowControl/>
        <w:spacing w:line="245" w:lineRule="auto" w:before="24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New studies published in 2020 quantified the contribution to CFC emissions of current CFC-11, CFC-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12 and CFC-113 banks. The authors concluded that CFC-11 and CFC-12 banks are larger than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previously estimated and that the CFC-11 bank is around 140 Gg larger due to the illegal production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and use of CFC-11 after 2012. The study noted that CFC-113 emissions exceed what would be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expected from the banks and allowed production as a feedstock chemical, and could be associated </w:t>
      </w:r>
      <w:r>
        <w:rPr>
          <w:rFonts w:ascii="Cambria" w:hAnsi="Cambria" w:eastAsia="Cambria"/>
          <w:b w:val="0"/>
          <w:i w:val="0"/>
          <w:color w:val="000000"/>
          <w:sz w:val="22"/>
        </w:rPr>
        <w:t>with illegal production of CFC-11.</w:t>
      </w:r>
      <w:r>
        <w:rPr>
          <w:rFonts w:ascii="Cambria" w:hAnsi="Cambria" w:eastAsia="Cambria"/>
          <w:b w:val="0"/>
          <w:i w:val="0"/>
          <w:color w:val="000000"/>
          <w:sz w:val="14"/>
        </w:rPr>
        <w:t>6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If left unrecovered, the CFC banks could delay ozone recovery by 6 years and contribute 9 billion </w:t>
      </w:r>
      <w:r>
        <w:rPr>
          <w:rFonts w:ascii="Cambria" w:hAnsi="Cambria" w:eastAsia="Cambria"/>
          <w:b w:val="0"/>
          <w:i w:val="0"/>
          <w:color w:val="000000"/>
          <w:sz w:val="22"/>
        </w:rPr>
        <w:t>tonnes CO</w:t>
      </w:r>
      <w:r>
        <w:rPr>
          <w:rFonts w:ascii="Cambria" w:hAnsi="Cambria" w:eastAsia="Cambria"/>
          <w:b w:val="0"/>
          <w:i w:val="0"/>
          <w:color w:val="000000"/>
          <w:sz w:val="14"/>
        </w:rPr>
        <w:t>2</w:t>
      </w:r>
      <w:r>
        <w:rPr>
          <w:rFonts w:ascii="Cambria" w:hAnsi="Cambria" w:eastAsia="Cambria"/>
          <w:b w:val="0"/>
          <w:i w:val="0"/>
          <w:color w:val="000000"/>
          <w:sz w:val="22"/>
        </w:rPr>
        <w:t>e between 2020 and 2100.</w:t>
      </w:r>
      <w:r>
        <w:rPr>
          <w:rFonts w:ascii="Cambria" w:hAnsi="Cambria" w:eastAsia="Cambria"/>
          <w:b w:val="0"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45" w:lineRule="auto" w:before="238" w:after="0"/>
        <w:ind w:left="0" w:right="2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Similar uncertainty exists in the global understanding of carbon tetrachloride (CTC). CTC is 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common feedstock chemical used in the production of CFCs. Between 2000-2009 emissions of CTC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fell steadily, yet in the next decade, after CTC was globally phased-out in 2010, emissions did not </w:t>
      </w:r>
      <w:r>
        <w:rPr>
          <w:rFonts w:ascii="Cambria" w:hAnsi="Cambria" w:eastAsia="Cambria"/>
          <w:b w:val="0"/>
          <w:i w:val="0"/>
          <w:color w:val="000000"/>
          <w:sz w:val="22"/>
        </w:rPr>
        <w:t>decline as much.</w:t>
      </w:r>
      <w:r>
        <w:rPr>
          <w:rFonts w:ascii="Cambria" w:hAnsi="Cambria" w:eastAsia="Cambria"/>
          <w:b w:val="0"/>
          <w:i w:val="0"/>
          <w:color w:val="000000"/>
          <w:sz w:val="14"/>
        </w:rPr>
        <w:t>8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Correlation was found between rising CFC-11 and the slow in CTC emissions </w:t>
      </w:r>
      <w:r>
        <w:rPr>
          <w:rFonts w:ascii="Cambria" w:hAnsi="Cambria" w:eastAsia="Cambria"/>
          <w:b w:val="0"/>
          <w:i w:val="0"/>
          <w:color w:val="000000"/>
          <w:sz w:val="22"/>
        </w:rPr>
        <w:t>reductions.</w:t>
      </w:r>
      <w:r>
        <w:rPr>
          <w:rFonts w:ascii="Cambria" w:hAnsi="Cambria" w:eastAsia="Cambria"/>
          <w:b w:val="0"/>
          <w:i w:val="0"/>
          <w:color w:val="000000"/>
          <w:sz w:val="14"/>
        </w:rPr>
        <w:t>9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This is in part because CTC continues to be used in “non-dispersive uses”, as chemical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feedstock and process agent, which potentially contributed to the rise in CTC emissions seen this past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decade. However, scientific understanding of the elevated levels of CTC is still unfolding. Scientists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recorded a gap in observed and reported emissions of CTC, and found fugitive emissions of CTC from </w:t>
      </w:r>
    </w:p>
    <w:p>
      <w:pPr>
        <w:autoSpaceDN w:val="0"/>
        <w:autoSpaceDE w:val="0"/>
        <w:widowControl/>
        <w:spacing w:line="245" w:lineRule="auto" w:before="1304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2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The Scientific Assessment Panel (SAP) of the Montreal Protocol on Substances that Deplete the Ozone Layer.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(2021). Report on the Unexpected Emissions of CFC-11. World Meteorological Organization. </w:t>
      </w:r>
    </w:p>
    <w:p>
      <w:pPr>
        <w:autoSpaceDN w:val="0"/>
        <w:autoSpaceDE w:val="0"/>
        <w:widowControl/>
        <w:spacing w:line="245" w:lineRule="auto" w:before="0" w:after="0"/>
        <w:ind w:left="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3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Rigby, M., Park, S., Saito, T., Western, L. M., Redington, A. L., Fang, X., ... &amp; Young, D. (2019). Increase in CFC-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11 emissions from eastern China based on atmospheric observations. </w:t>
      </w:r>
      <w:r>
        <w:rPr>
          <w:rFonts w:ascii="Cambria" w:hAnsi="Cambria" w:eastAsia="Cambria"/>
          <w:b w:val="0"/>
          <w:i/>
          <w:color w:val="000000"/>
          <w:sz w:val="20"/>
        </w:rPr>
        <w:t>Nature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, </w:t>
      </w:r>
      <w:r>
        <w:rPr>
          <w:rFonts w:ascii="Cambria" w:hAnsi="Cambria" w:eastAsia="Cambria"/>
          <w:b w:val="0"/>
          <w:i/>
          <w:color w:val="000000"/>
          <w:sz w:val="20"/>
        </w:rPr>
        <w:t>569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(7757), 546-550. </w:t>
      </w:r>
      <w:r>
        <w:rPr>
          <w:rFonts w:ascii="Cambria" w:hAnsi="Cambria" w:eastAsia="Cambria"/>
          <w:b w:val="0"/>
          <w:i w:val="0"/>
          <w:color w:val="000000"/>
          <w:sz w:val="13"/>
        </w:rPr>
        <w:t>4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SAP, 2021. </w:t>
      </w: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5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Dhomse, S. S., Feng, W., Montzka, S. A., Hossaini, R., Keeble, J., Pyle, J. A., ... &amp; Chipperfield, M. P. (2019). Delay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in recovery of the Antarctic ozone hole from unexpected CFC-11 emissions. </w:t>
      </w:r>
      <w:r>
        <w:rPr>
          <w:rFonts w:ascii="Cambria" w:hAnsi="Cambria" w:eastAsia="Cambria"/>
          <w:b w:val="0"/>
          <w:i/>
          <w:color w:val="000000"/>
          <w:sz w:val="20"/>
        </w:rPr>
        <w:t>Nature communications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, </w:t>
      </w:r>
      <w:r>
        <w:rPr>
          <w:rFonts w:ascii="Cambria" w:hAnsi="Cambria" w:eastAsia="Cambria"/>
          <w:b w:val="0"/>
          <w:i/>
          <w:color w:val="000000"/>
          <w:sz w:val="20"/>
        </w:rPr>
        <w:t>10</w:t>
      </w:r>
      <w:r>
        <w:rPr>
          <w:rFonts w:ascii="Cambria" w:hAnsi="Cambria" w:eastAsia="Cambria"/>
          <w:b w:val="0"/>
          <w:i w:val="0"/>
          <w:color w:val="000000"/>
          <w:sz w:val="20"/>
        </w:rPr>
        <w:t>(1), 1-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12. </w:t>
      </w:r>
    </w:p>
    <w:p>
      <w:pPr>
        <w:autoSpaceDN w:val="0"/>
        <w:autoSpaceDE w:val="0"/>
        <w:widowControl/>
        <w:spacing w:line="245" w:lineRule="auto" w:before="2" w:after="0"/>
        <w:ind w:left="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6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Lickley, M., Solomon, S., Fletcher, S., Velders, G. J., Daniel, J., Rigby, M., ... &amp; Stone, K. (2020). Quantifying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contributions of chlorofluorocarbon banks to emissions and impacts on the ozone layer and climate. </w:t>
      </w:r>
      <w:r>
        <w:rPr>
          <w:rFonts w:ascii="Cambria" w:hAnsi="Cambria" w:eastAsia="Cambria"/>
          <w:b w:val="0"/>
          <w:i/>
          <w:color w:val="000000"/>
          <w:sz w:val="20"/>
        </w:rPr>
        <w:t xml:space="preserve">Nature </w:t>
      </w:r>
      <w:r>
        <w:rPr>
          <w:rFonts w:ascii="Cambria" w:hAnsi="Cambria" w:eastAsia="Cambria"/>
          <w:b w:val="0"/>
          <w:i/>
          <w:color w:val="000000"/>
          <w:sz w:val="20"/>
        </w:rPr>
        <w:t>communications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, </w:t>
      </w:r>
      <w:r>
        <w:rPr>
          <w:rFonts w:ascii="Cambria" w:hAnsi="Cambria" w:eastAsia="Cambria"/>
          <w:b w:val="0"/>
          <w:i/>
          <w:color w:val="000000"/>
          <w:sz w:val="20"/>
        </w:rPr>
        <w:t>11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(1), 1-11.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7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Ibid.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8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SAP, 2021. </w:t>
      </w:r>
    </w:p>
    <w:p>
      <w:pPr>
        <w:autoSpaceDN w:val="0"/>
        <w:autoSpaceDE w:val="0"/>
        <w:widowControl/>
        <w:spacing w:line="245" w:lineRule="auto" w:before="2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9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Lunt, M. F., Park, S., Li, S., Henne, S., Manning, A. J., Ganesan, A. L., ... &amp; Rigby, M. (2018). Continued emissions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of the ozone-depleting substance carbon tetrachloride from eastern Asia. </w:t>
      </w:r>
      <w:r>
        <w:rPr>
          <w:rFonts w:ascii="Cambria" w:hAnsi="Cambria" w:eastAsia="Cambria"/>
          <w:b w:val="0"/>
          <w:i/>
          <w:color w:val="000000"/>
          <w:sz w:val="20"/>
        </w:rPr>
        <w:t>Geophysical research letters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, </w:t>
      </w:r>
      <w:r>
        <w:rPr>
          <w:rFonts w:ascii="Cambria" w:hAnsi="Cambria" w:eastAsia="Cambria"/>
          <w:b w:val="0"/>
          <w:i/>
          <w:color w:val="000000"/>
          <w:sz w:val="20"/>
        </w:rPr>
        <w:t>45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(20),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11-423. </w:t>
      </w:r>
    </w:p>
    <w:p>
      <w:pPr>
        <w:autoSpaceDN w:val="0"/>
        <w:autoSpaceDE w:val="0"/>
        <w:widowControl/>
        <w:spacing w:line="240" w:lineRule="auto" w:before="252" w:after="0"/>
        <w:ind w:left="0" w:right="2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3 </w:t>
      </w:r>
    </w:p>
    <w:p>
      <w:pPr>
        <w:sectPr>
          <w:pgSz w:w="12240" w:h="15840"/>
          <w:pgMar w:top="720" w:right="1370" w:bottom="4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>feedstock use of about 15 Gg a year.</w:t>
      </w:r>
      <w:r>
        <w:rPr>
          <w:rFonts w:ascii="Cambria" w:hAnsi="Cambria" w:eastAsia="Cambria"/>
          <w:b w:val="0"/>
          <w:i w:val="0"/>
          <w:color w:val="000000"/>
          <w:sz w:val="14"/>
        </w:rPr>
        <w:t>10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Without controls on feedstock use, scientists note CTC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>other feedstock leakage as potential “emissions slipping through the treaty”.</w:t>
      </w:r>
      <w:r>
        <w:rPr>
          <w:rFonts w:ascii="Cambria" w:hAnsi="Cambria" w:eastAsia="Cambria"/>
          <w:b w:val="0"/>
          <w:i w:val="0"/>
          <w:color w:val="000000"/>
          <w:sz w:val="14"/>
        </w:rPr>
        <w:t>11</w:t>
      </w:r>
    </w:p>
    <w:p>
      <w:pPr>
        <w:autoSpaceDN w:val="0"/>
        <w:autoSpaceDE w:val="0"/>
        <w:widowControl/>
        <w:spacing w:line="245" w:lineRule="auto" w:before="240" w:after="0"/>
        <w:ind w:left="88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 February 2021, two papers reported a global and regional decline in atmospheric CFC-11, </w:t>
      </w:r>
      <w:r>
        <w:rPr>
          <w:rFonts w:ascii="Cambria" w:hAnsi="Cambria" w:eastAsia="Cambria"/>
          <w:b w:val="0"/>
          <w:i w:val="0"/>
          <w:color w:val="000000"/>
          <w:sz w:val="22"/>
        </w:rPr>
        <w:t>demonstrating that CFC-11 is back on a downward trajectory.</w:t>
      </w:r>
      <w:r>
        <w:rPr>
          <w:rFonts w:ascii="Cambria" w:hAnsi="Cambria" w:eastAsia="Cambria"/>
          <w:b w:val="0"/>
          <w:i w:val="0"/>
          <w:color w:val="000000"/>
          <w:sz w:val="14"/>
        </w:rPr>
        <w:t>12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Scientists attributed 60% of this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decline in emissions to China, which aligns with previous estimates that China was responsible for </w:t>
      </w:r>
      <w:r>
        <w:rPr>
          <w:rFonts w:ascii="Cambria" w:hAnsi="Cambria" w:eastAsia="Cambria"/>
          <w:b w:val="0"/>
          <w:i w:val="0"/>
          <w:color w:val="000000"/>
          <w:sz w:val="22"/>
        </w:rPr>
        <w:t>60% ± 40% of the emission increase.</w:t>
      </w:r>
      <w:r>
        <w:rPr>
          <w:rFonts w:ascii="Cambria" w:hAnsi="Cambria" w:eastAsia="Cambria"/>
          <w:b w:val="0"/>
          <w:i w:val="0"/>
          <w:color w:val="000000"/>
          <w:sz w:val="14"/>
        </w:rPr>
        <w:t>13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The swift impact on atmospheric emissions is a testament to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Montreal Protocol global community, including the scientists and nation-wide enforcement efforts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undertaken by China. However, much work remains to address continuing emissions from ODS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banks, feedstocks and illegal production and use. </w:t>
      </w:r>
    </w:p>
    <w:p>
      <w:pPr>
        <w:autoSpaceDN w:val="0"/>
        <w:autoSpaceDE w:val="0"/>
        <w:widowControl/>
        <w:spacing w:line="245" w:lineRule="auto" w:before="238" w:after="242"/>
        <w:ind w:left="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 terms of future scientific assessment, concerns remain about emissions from the CFC banks, as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well as atmospheric lifetimes of CFCs and their implications for accurately estimating the scale of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emissions. Current models of CFCs and their lifetimes do not assess the effect of oceanic processes, </w:t>
      </w:r>
      <w:r>
        <w:rPr>
          <w:rFonts w:ascii="Cambria" w:hAnsi="Cambria" w:eastAsia="Cambria"/>
          <w:b w:val="0"/>
          <w:i w:val="0"/>
          <w:color w:val="000000"/>
          <w:sz w:val="22"/>
        </w:rPr>
        <w:t>which if considered could significantly reduce CFC atmospheric lifetimes.</w:t>
      </w:r>
      <w:r>
        <w:rPr>
          <w:rFonts w:ascii="Cambria" w:hAnsi="Cambria" w:eastAsia="Cambria"/>
          <w:b w:val="0"/>
          <w:i w:val="0"/>
          <w:color w:val="000000"/>
          <w:sz w:val="14"/>
        </w:rPr>
        <w:t>14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Other findings concluded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that the lifetimes of CFC-11, CFC-12, and CFC-113 are likely shorter than previous estimates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predicted, meaning the increase in direct emissions seen this past decade was actually larger than </w:t>
      </w:r>
      <w:r>
        <w:rPr>
          <w:rFonts w:ascii="Cambria" w:hAnsi="Cambria" w:eastAsia="Cambria"/>
          <w:b w:val="0"/>
          <w:i w:val="0"/>
          <w:color w:val="000000"/>
          <w:sz w:val="22"/>
        </w:rPr>
        <w:t>scientific findings suggest.</w:t>
      </w:r>
      <w:r>
        <w:rPr>
          <w:rFonts w:ascii="Cambria" w:hAnsi="Cambria" w:eastAsia="Cambria"/>
          <w:b w:val="0"/>
          <w:i w:val="0"/>
          <w:color w:val="000000"/>
          <w:sz w:val="14"/>
        </w:rPr>
        <w:t>15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The authors estimate new unexpected emissions during 2014-16 were </w:t>
      </w:r>
      <w:r>
        <w:rPr>
          <w:rFonts w:ascii="Cambria" w:hAnsi="Cambria" w:eastAsia="Cambria"/>
          <w:b w:val="0"/>
          <w:i w:val="0"/>
          <w:color w:val="000000"/>
          <w:sz w:val="22"/>
        </w:rPr>
        <w:t>23.2, 18.3 and 7.8Gg/yr for CFC-11, 12 and 113 respectively. The difference between previous CFC-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11 estimates and these findings suggests an additional 10 Gg/yr of unexpected CFC-11 emissions </w:t>
      </w:r>
      <w:r>
        <w:rPr>
          <w:rFonts w:ascii="Cambria" w:hAnsi="Cambria" w:eastAsia="Cambria"/>
          <w:b w:val="0"/>
          <w:i w:val="0"/>
          <w:color w:val="000000"/>
          <w:sz w:val="22"/>
        </w:rPr>
        <w:t>between 2014-2016.</w:t>
      </w:r>
      <w:r>
        <w:rPr>
          <w:rFonts w:ascii="Cambria" w:hAnsi="Cambria" w:eastAsia="Cambria"/>
          <w:b w:val="0"/>
          <w:i w:val="0"/>
          <w:color w:val="000000"/>
          <w:sz w:val="14"/>
        </w:rPr>
        <w:t>16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58"/>
      </w:tblGrid>
      <w:tr>
        <w:trPr>
          <w:trHeight w:hRule="exact" w:val="376"/>
        </w:trPr>
        <w:tc>
          <w:tcPr>
            <w:tcW w:type="dxa" w:w="9538"/>
            <w:tcBorders/>
            <w:shd w:fill="4f81b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2"/>
              </w:rPr>
              <w:t>UPDATED TEAP FINDINGS</w:t>
            </w:r>
          </w:p>
        </w:tc>
      </w:tr>
    </w:tbl>
    <w:p>
      <w:pPr>
        <w:autoSpaceDN w:val="0"/>
        <w:autoSpaceDE w:val="0"/>
        <w:widowControl/>
        <w:spacing w:line="245" w:lineRule="auto" w:before="240" w:after="0"/>
        <w:ind w:left="88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 response to the unexpected CFC-11 emissions, Parties requested the Technology and Economic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Assessment Panel (TEAP) to provide them with relevant information on potential sources of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emissions of CFC-11 and related controlled substances. In response, TEAP formed a temporary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subsidiary body, in the form of a Task Force, which combines expertise from TEAP and its Technical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Options Committees (TOCs), and also outside expertise. Based on modelling of CFC-11 production,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usage, emissions and comparison against atmospheric-derived emissions, TEAP concluded that it 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unlikely that past production and historic usage can account for the unexpected CFC-11 emissions,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including from existing foam banks. Based on its assessment, the Task Force also concluded that the </w:t>
      </w:r>
    </w:p>
    <w:p>
      <w:pPr>
        <w:autoSpaceDN w:val="0"/>
        <w:autoSpaceDE w:val="0"/>
        <w:widowControl/>
        <w:spacing w:line="245" w:lineRule="auto" w:before="908" w:after="0"/>
        <w:ind w:left="88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10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SAP, 2021; Sherry, D., McCulloch, A., Liang, Q., Reimann, S., &amp; Newman, P. A. (2018). Current sources of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carbon tetrachloride (CCl4) in our atmosphere. </w:t>
      </w:r>
      <w:r>
        <w:rPr>
          <w:rFonts w:ascii="Cambria" w:hAnsi="Cambria" w:eastAsia="Cambria"/>
          <w:b w:val="0"/>
          <w:i/>
          <w:color w:val="000000"/>
          <w:sz w:val="20"/>
        </w:rPr>
        <w:t>Environmental Research Letters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, </w:t>
      </w:r>
      <w:r>
        <w:rPr>
          <w:rFonts w:ascii="Cambria" w:hAnsi="Cambria" w:eastAsia="Cambria"/>
          <w:b w:val="0"/>
          <w:i/>
          <w:color w:val="000000"/>
          <w:sz w:val="20"/>
        </w:rPr>
        <w:t>13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(2), 024004. </w:t>
      </w:r>
    </w:p>
    <w:p>
      <w:pPr>
        <w:autoSpaceDN w:val="0"/>
        <w:autoSpaceDE w:val="0"/>
        <w:widowControl/>
        <w:spacing w:line="245" w:lineRule="auto" w:before="0" w:after="0"/>
        <w:ind w:left="88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11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Solomon, S., Alcamo, J., &amp; Ravishankara, A. R. (2020). Unfinished business after five decades of ozone-layer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science and policy. </w:t>
      </w:r>
      <w:r>
        <w:rPr>
          <w:rFonts w:ascii="Cambria" w:hAnsi="Cambria" w:eastAsia="Cambria"/>
          <w:b w:val="0"/>
          <w:i/>
          <w:color w:val="000000"/>
          <w:sz w:val="20"/>
        </w:rPr>
        <w:t>Nature Communications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, </w:t>
      </w:r>
      <w:r>
        <w:rPr>
          <w:rFonts w:ascii="Cambria" w:hAnsi="Cambria" w:eastAsia="Cambria"/>
          <w:b w:val="0"/>
          <w:i/>
          <w:color w:val="000000"/>
          <w:sz w:val="20"/>
        </w:rPr>
        <w:t>11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(1), 1-4. </w:t>
      </w:r>
    </w:p>
    <w:p>
      <w:pPr>
        <w:autoSpaceDN w:val="0"/>
        <w:autoSpaceDE w:val="0"/>
        <w:widowControl/>
        <w:spacing w:line="245" w:lineRule="auto" w:before="0" w:after="0"/>
        <w:ind w:left="88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12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Montzka, S. A., Dutton, G. S., Portmann, R. W., Chipperfield, M. P., Davis, S., Feng, W., ... &amp; Theodoridi, C.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(2021). A decline in global CFC-11 emissions during 2018− 2019. </w:t>
      </w:r>
      <w:r>
        <w:rPr>
          <w:rFonts w:ascii="Cambria" w:hAnsi="Cambria" w:eastAsia="Cambria"/>
          <w:b w:val="0"/>
          <w:i/>
          <w:color w:val="000000"/>
          <w:sz w:val="20"/>
        </w:rPr>
        <w:t>Nature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, </w:t>
      </w:r>
      <w:r>
        <w:rPr>
          <w:rFonts w:ascii="Cambria" w:hAnsi="Cambria" w:eastAsia="Cambria"/>
          <w:b w:val="0"/>
          <w:i/>
          <w:color w:val="000000"/>
          <w:sz w:val="20"/>
        </w:rPr>
        <w:t>590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(7846), 428-432. </w:t>
      </w:r>
    </w:p>
    <w:p>
      <w:pPr>
        <w:autoSpaceDN w:val="0"/>
        <w:autoSpaceDE w:val="0"/>
        <w:widowControl/>
        <w:spacing w:line="245" w:lineRule="auto" w:before="2" w:after="0"/>
        <w:ind w:left="88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13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Park, S., Western, L. M., Saito, T., Redington, A. L., Henne, S., Fang, X., ... &amp; Rigby, M. (2021). A decline in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emissions of CFC-11 and related chemicals from eastern China. </w:t>
      </w:r>
      <w:r>
        <w:rPr>
          <w:rFonts w:ascii="Cambria" w:hAnsi="Cambria" w:eastAsia="Cambria"/>
          <w:b w:val="0"/>
          <w:i/>
          <w:color w:val="000000"/>
          <w:sz w:val="20"/>
        </w:rPr>
        <w:t>Nature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, </w:t>
      </w:r>
      <w:r>
        <w:rPr>
          <w:rFonts w:ascii="Cambria" w:hAnsi="Cambria" w:eastAsia="Cambria"/>
          <w:b w:val="0"/>
          <w:i/>
          <w:color w:val="000000"/>
          <w:sz w:val="20"/>
        </w:rPr>
        <w:t>590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(7846), 433-437; Rigby, M., Park,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S., Saito, T., Western, L. M., Redington, A. L., Fang, X., ... &amp; Young, D. (2019). Increase in CFC-11 emissions from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eastern China based on atmospheric observations. </w:t>
      </w:r>
      <w:r>
        <w:rPr>
          <w:rFonts w:ascii="Cambria" w:hAnsi="Cambria" w:eastAsia="Cambria"/>
          <w:b w:val="0"/>
          <w:i/>
          <w:color w:val="000000"/>
          <w:sz w:val="20"/>
        </w:rPr>
        <w:t>Nature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, </w:t>
      </w:r>
      <w:r>
        <w:rPr>
          <w:rFonts w:ascii="Cambria" w:hAnsi="Cambria" w:eastAsia="Cambria"/>
          <w:b w:val="0"/>
          <w:i/>
          <w:color w:val="000000"/>
          <w:sz w:val="20"/>
        </w:rPr>
        <w:t>569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(7757), 546-550. </w:t>
      </w:r>
    </w:p>
    <w:p>
      <w:pPr>
        <w:autoSpaceDN w:val="0"/>
        <w:autoSpaceDE w:val="0"/>
        <w:widowControl/>
        <w:spacing w:line="245" w:lineRule="auto" w:before="2" w:after="0"/>
        <w:ind w:left="88" w:right="128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13"/>
        </w:rPr>
        <w:t>14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Wang, P., Scott, J. R., Solomon, S., Marshall, J., Babbin, A. R., Lickley, M., ... &amp; Prinn, R. G. (2021). On the effects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of the ocean on atmospheric CFC-11 lifetimes and emissions. </w:t>
      </w:r>
      <w:r>
        <w:rPr>
          <w:rFonts w:ascii="Cambria" w:hAnsi="Cambria" w:eastAsia="Cambria"/>
          <w:b w:val="0"/>
          <w:i/>
          <w:color w:val="000000"/>
          <w:sz w:val="20"/>
        </w:rPr>
        <w:t>Proceedings of the National Academy of Sciences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, </w:t>
      </w:r>
      <w:r>
        <w:rPr>
          <w:rFonts w:ascii="Cambria" w:hAnsi="Cambria" w:eastAsia="Cambria"/>
          <w:b w:val="0"/>
          <w:i/>
          <w:color w:val="000000"/>
          <w:sz w:val="20"/>
        </w:rPr>
        <w:t>118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(12). </w:t>
      </w:r>
    </w:p>
    <w:p>
      <w:pPr>
        <w:autoSpaceDN w:val="0"/>
        <w:autoSpaceDE w:val="0"/>
        <w:widowControl/>
        <w:spacing w:line="245" w:lineRule="auto" w:before="2" w:after="0"/>
        <w:ind w:left="88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15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Lickley, M., Fletcher, S., Rigby, M., &amp; Solomon, S. (2021). Joint inference of CFC lifetimes and banks suggests 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previously unidentified emissions. </w:t>
      </w:r>
      <w:r>
        <w:rPr>
          <w:rFonts w:ascii="Cambria" w:hAnsi="Cambria" w:eastAsia="Cambria"/>
          <w:b w:val="0"/>
          <w:i/>
          <w:color w:val="000000"/>
          <w:sz w:val="20"/>
        </w:rPr>
        <w:t>Nature communications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, </w:t>
      </w:r>
      <w:r>
        <w:rPr>
          <w:rFonts w:ascii="Cambria" w:hAnsi="Cambria" w:eastAsia="Cambria"/>
          <w:b w:val="0"/>
          <w:i/>
          <w:color w:val="000000"/>
          <w:sz w:val="20"/>
        </w:rPr>
        <w:t>12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(1), 1-10. </w:t>
      </w:r>
    </w:p>
    <w:p>
      <w:pPr>
        <w:autoSpaceDN w:val="0"/>
        <w:autoSpaceDE w:val="0"/>
        <w:widowControl/>
        <w:spacing w:line="238" w:lineRule="auto" w:before="2" w:after="0"/>
        <w:ind w:left="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16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Ibid. </w:t>
      </w:r>
    </w:p>
    <w:p>
      <w:pPr>
        <w:autoSpaceDN w:val="0"/>
        <w:autoSpaceDE w:val="0"/>
        <w:widowControl/>
        <w:spacing w:line="240" w:lineRule="auto" w:before="252" w:after="0"/>
        <w:ind w:left="0" w:right="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4 </w:t>
      </w:r>
    </w:p>
    <w:p>
      <w:pPr>
        <w:sectPr>
          <w:pgSz w:w="12240" w:h="15840"/>
          <w:pgMar w:top="720" w:right="1330" w:bottom="476" w:left="13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production of certain foam products using CFC-11 was a potential source of the sudden and increased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emissions of CFC-11, concluding it, </w:t>
      </w:r>
    </w:p>
    <w:p>
      <w:pPr>
        <w:autoSpaceDN w:val="0"/>
        <w:autoSpaceDE w:val="0"/>
        <w:widowControl/>
        <w:spacing w:line="240" w:lineRule="auto" w:before="242" w:after="0"/>
        <w:ind w:left="720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2"/>
        </w:rPr>
        <w:t xml:space="preserve"> “is likely that there has been a resumption of newly produced CFC-11 usage in closed-cell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2"/>
        </w:rPr>
        <w:t xml:space="preserve">foams. It seems unlikely that the unexpected emissions have resulted from the traditional </w:t>
      </w:r>
    </w:p>
    <w:p>
      <w:pPr>
        <w:autoSpaceDN w:val="0"/>
        <w:autoSpaceDE w:val="0"/>
        <w:widowControl/>
        <w:spacing w:line="240" w:lineRule="auto" w:before="36" w:after="0"/>
        <w:ind w:left="720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2"/>
        </w:rPr>
        <w:t xml:space="preserve">handling of foams at end-of-life alone unless there has been a significant change in those </w:t>
      </w:r>
    </w:p>
    <w:p>
      <w:pPr>
        <w:autoSpaceDN w:val="0"/>
        <w:autoSpaceDE w:val="0"/>
        <w:widowControl/>
        <w:spacing w:line="240" w:lineRule="auto" w:before="38" w:after="0"/>
        <w:ind w:left="720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2"/>
        </w:rPr>
        <w:t xml:space="preserve">processes from appliances and construction for a very large volume of foams. This has been </w:t>
      </w:r>
    </w:p>
    <w:p>
      <w:pPr>
        <w:autoSpaceDN w:val="0"/>
        <w:autoSpaceDE w:val="0"/>
        <w:widowControl/>
        <w:spacing w:line="240" w:lineRule="auto" w:before="36" w:after="0"/>
        <w:ind w:left="720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2"/>
        </w:rPr>
        <w:t xml:space="preserve">further validated in the final report by more closely examining the expected timing of </w:t>
      </w:r>
    </w:p>
    <w:p>
      <w:pPr>
        <w:autoSpaceDN w:val="0"/>
        <w:autoSpaceDE w:val="0"/>
        <w:widowControl/>
        <w:spacing w:line="240" w:lineRule="auto" w:before="40" w:after="0"/>
        <w:ind w:left="720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2"/>
        </w:rPr>
        <w:t xml:space="preserve">increased emissions associated with the dismantling of foams.” </w:t>
      </w:r>
    </w:p>
    <w:p>
      <w:pPr>
        <w:autoSpaceDN w:val="0"/>
        <w:autoSpaceDE w:val="0"/>
        <w:widowControl/>
        <w:spacing w:line="245" w:lineRule="auto" w:before="236" w:after="0"/>
        <w:ind w:left="0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TEAP Task Force 2019 findings reinforce the need to continue to explore PU foam manufacturing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as an important potential source of the unexpected CFC-11 emissions. Further validation of CFC-11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emissions rates during: production of the gas; transport for use; production of polyol systems;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production and application of the different types of foam; shredding of foams before landfills;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during end-of-life in landfills is critical in determining the magnitude of this issue and prioritising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action. A thorough analysis of each of these aspects is required to refine accuracy of the emissions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rates that will in turn inform a better understanding of the scale of the issue on the ground. EIA agrees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with the areas for further assessment outlined by the Task Force in Chapter 7 of the September 2019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report and recommends additional efforts be undertaken. </w:t>
      </w:r>
    </w:p>
    <w:p>
      <w:pPr>
        <w:autoSpaceDN w:val="0"/>
        <w:autoSpaceDE w:val="0"/>
        <w:widowControl/>
        <w:spacing w:line="245" w:lineRule="auto" w:before="238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Parties requested an additional TEAP report in 2021 to update previous information and undertake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additional specific analysis on geographic distribution and disposition of CFC-11 banks, linkages with </w:t>
      </w:r>
      <w:r>
        <w:rPr>
          <w:rFonts w:ascii="Cambria" w:hAnsi="Cambria" w:eastAsia="Cambria"/>
          <w:b w:val="0"/>
          <w:i w:val="0"/>
          <w:color w:val="000000"/>
          <w:sz w:val="22"/>
        </w:rPr>
        <w:t>production of anhydrous hydrogen fluoride and CTC, and opportunities and methods to recover CFC-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11 from products. The draft TEAP report confirms earlier findings of the Task Force that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difference between inventory-based models and unexpected atmospheric emissions cannot be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explained by existing banks alone. </w:t>
      </w:r>
    </w:p>
    <w:p>
      <w:pPr>
        <w:autoSpaceDN w:val="0"/>
        <w:autoSpaceDE w:val="0"/>
        <w:widowControl/>
        <w:spacing w:line="245" w:lineRule="auto" w:before="242" w:after="0"/>
        <w:ind w:left="0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new draft report concludes that unreported CFC-11 production was already occurring during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2007-12 period. This is necessary to explain the difference between inventory-based expected </w:t>
      </w:r>
      <w:r>
        <w:rPr>
          <w:rFonts w:ascii="Cambria" w:hAnsi="Cambria" w:eastAsia="Cambria"/>
          <w:b w:val="0"/>
          <w:i w:val="0"/>
          <w:color w:val="000000"/>
          <w:sz w:val="22"/>
        </w:rPr>
        <w:t>emissions and derived CFC-11 emissions during this earlier period. TEAP estimates unreported CFC-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11 production to be 10-40 kilotonnes per year between 2007-12, 40-70 kilotonnes per year between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2013-18 and 15-40 kilotonnes of new production (or CFC-11 use from previous production) for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2019. The estimated cumulative total of unreported CFC-11 production is between 320 to 700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kilotonnes during 2007-2019. It estimates that, assuming usage in closed-cell foam production, this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cumulative unreported CFC-11 production would lead to an increase in the magnitude of the CFC-11 </w:t>
      </w:r>
      <w:r>
        <w:rPr>
          <w:rFonts w:ascii="Cambria" w:hAnsi="Cambria" w:eastAsia="Cambria"/>
          <w:b w:val="0"/>
          <w:i w:val="0"/>
          <w:color w:val="000000"/>
          <w:sz w:val="22"/>
        </w:rPr>
        <w:t>bank of 266-333 kilotonnes by the end of 2019, equivalent to about 1.4 GtCO</w:t>
      </w:r>
      <w:r>
        <w:rPr>
          <w:rFonts w:ascii="Cambria" w:hAnsi="Cambria" w:eastAsia="Cambria"/>
          <w:b w:val="0"/>
          <w:i w:val="0"/>
          <w:color w:val="000000"/>
          <w:sz w:val="14"/>
        </w:rPr>
        <w:t>2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e. </w:t>
      </w:r>
    </w:p>
    <w:p>
      <w:pPr>
        <w:autoSpaceDN w:val="0"/>
        <w:autoSpaceDE w:val="0"/>
        <w:widowControl/>
        <w:spacing w:line="245" w:lineRule="auto" w:before="236" w:after="0"/>
        <w:ind w:left="0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TEAP estimates that the total active CFC-11 bank in 2021, including foams, refrigerants and storage, </w:t>
      </w:r>
      <w:r>
        <w:rPr>
          <w:rFonts w:ascii="Cambria" w:hAnsi="Cambria" w:eastAsia="Cambria"/>
          <w:b w:val="0"/>
          <w:i w:val="0"/>
          <w:color w:val="000000"/>
          <w:sz w:val="22"/>
        </w:rPr>
        <w:t>is 800 ± 50 kilotonnes, or 3.8 Gt CO</w:t>
      </w:r>
      <w:r>
        <w:rPr>
          <w:rFonts w:ascii="Cambria" w:hAnsi="Cambria" w:eastAsia="Cambria"/>
          <w:b w:val="0"/>
          <w:i w:val="0"/>
          <w:color w:val="000000"/>
          <w:sz w:val="14"/>
        </w:rPr>
        <w:t>2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e, although it is unclear whether this includes the newly created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bank of CFC-11 due to recent illegal production and use. The report describes the feasibility of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recovery and destruction of CFC-11 banks at end of life, which are characterized as being limited to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active foam banks and centrifugal chillers, noting that foam recovery and destruction has been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mandated in certain countries for insulating and appliance foams. The majority of the remaining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active CFC-11 foam bank remains in North America and Europe, presumably other than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additional bank that was created by illegal production and use during the 2007-19 period. TEAP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concludes that due to the difficulty of isolating ODS from non-ODS banks, programs targeting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recovery and destruction of both ODS and HFCs from foams would have the greatest success due to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economies of scale and overall benefit. </w:t>
      </w:r>
    </w:p>
    <w:p>
      <w:pPr>
        <w:autoSpaceDN w:val="0"/>
        <w:autoSpaceDE w:val="0"/>
        <w:widowControl/>
        <w:spacing w:line="240" w:lineRule="auto" w:before="728" w:after="0"/>
        <w:ind w:left="0" w:right="2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5 </w:t>
      </w:r>
    </w:p>
    <w:p>
      <w:pPr>
        <w:sectPr>
          <w:pgSz w:w="12240" w:h="15840"/>
          <w:pgMar w:top="720" w:right="1370" w:bottom="4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0" w:after="240"/>
        <w:ind w:left="88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Further information on the supply chain of pre-blended polyols will also be critical to understanding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and addressing this issue. As reported by TEAP, Multilateral Fund Secretariat (MLFS) data from both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Article 5 and non-Article 5 Parties indicates that up to 7,500 tonnes per year fluorocarbon blowing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agent was incorporated into foam systems and/or imported. Given the volume of trade in polyols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from China, there is a clear possibility that pre-blended polyols containing CFC-11 have been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imported by other Montreal Protocol Parties. It is also vital to further examine the potential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unregulated sources of CTC emissions with a view to increasing the understanding of those emissions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and their potential linkages to unaccounted CFC-11 emissions.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58"/>
      </w:tblGrid>
      <w:tr>
        <w:trPr>
          <w:trHeight w:hRule="exact" w:val="378"/>
        </w:trPr>
        <w:tc>
          <w:tcPr>
            <w:tcW w:type="dxa" w:w="9538"/>
            <w:tcBorders/>
            <w:shd w:fill="4f81b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2"/>
              </w:rPr>
              <w:t>INFORMATION ON CHINA’S DOMESTIC RESPONSE</w:t>
            </w:r>
          </w:p>
        </w:tc>
      </w:tr>
    </w:tbl>
    <w:p>
      <w:pPr>
        <w:autoSpaceDN w:val="0"/>
        <w:autoSpaceDE w:val="0"/>
        <w:widowControl/>
        <w:spacing w:line="240" w:lineRule="auto" w:before="240" w:after="0"/>
        <w:ind w:left="8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Inspections and Findings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36" w:after="0"/>
        <w:ind w:left="88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China has reported the detection of three confirmed CFC-11 production sites, which were demolished </w:t>
      </w:r>
      <w:r>
        <w:rPr>
          <w:rFonts w:ascii="Cambria" w:hAnsi="Cambria" w:eastAsia="Cambria"/>
          <w:b w:val="0"/>
          <w:i w:val="0"/>
          <w:color w:val="000000"/>
          <w:sz w:val="22"/>
        </w:rPr>
        <w:t>by authorities.</w:t>
      </w:r>
      <w:r>
        <w:rPr>
          <w:rFonts w:ascii="Cambria" w:hAnsi="Cambria" w:eastAsia="Cambria"/>
          <w:b w:val="0"/>
          <w:i w:val="0"/>
          <w:color w:val="000000"/>
          <w:sz w:val="14"/>
        </w:rPr>
        <w:t>17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A total of just 43 tonnes of CFC-11 were seized from these sites. In July 2018, two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“underground” factories producing CFC-11 illegally were demolished. One site in Langtou Town,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Liaoning Province saw 145 tonnes of CTC and two sets of CFC-11 production equipment seized. At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other site in Houlu Village, Henan, 32.6 tonnes of CTC and 29.9 tonnes of CFC-11 were seized. In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May 2019 another illegal CFC-11 production site was destroyed in Jicheng Town, Henan and 70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tonnes of CTC and 13 tonnes of CFC-11 found. The total production capacity of these three facilities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was not reported. </w:t>
      </w:r>
    </w:p>
    <w:p>
      <w:pPr>
        <w:autoSpaceDN w:val="0"/>
        <w:autoSpaceDE w:val="0"/>
        <w:widowControl/>
        <w:spacing w:line="245" w:lineRule="auto" w:before="240" w:after="0"/>
        <w:ind w:left="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 total of 42 enterprises were found to be using CFC-11. Chinese authorities conducted inspections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of 1,172 enterprises from August to October 2018 including system houses and foam manufacturers, </w:t>
      </w:r>
      <w:r>
        <w:rPr>
          <w:rFonts w:ascii="Cambria" w:hAnsi="Cambria" w:eastAsia="Cambria"/>
          <w:b w:val="0"/>
          <w:i w:val="0"/>
          <w:color w:val="000000"/>
          <w:sz w:val="22"/>
        </w:rPr>
        <w:t>which identified 6 enterprises out of 392 that were tested using portable detectors to be using CFC-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11. The enterprises were fined and products confiscated and destroyed. Subsequent efforts in 2019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to conduct additional inspections of 656 enterprises and tests at 322 enterprises yielded an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additional 37 enterprises that tested positive for containing CFC-11. No information was reported on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specific test results, quantities of CFC-11 detected in products seized, or estimated illegal use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emissions that could be attributed to the relevant enterprises. </w:t>
      </w:r>
    </w:p>
    <w:p>
      <w:pPr>
        <w:autoSpaceDN w:val="0"/>
        <w:autoSpaceDE w:val="0"/>
        <w:widowControl/>
        <w:spacing w:line="240" w:lineRule="auto" w:before="242" w:after="0"/>
        <w:ind w:left="8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Legal Reforms and Strengthened Enforcement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34" w:after="0"/>
        <w:ind w:left="88" w:right="6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China’s efforts to improve monitoring and enforcement against illegal production and use have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focused on legal reforms to strengthen punitive measures and deterrence, increasing law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enforcement capacity, monitoring of raw materials and feedstocks, and launching an atmospheric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monitoring network. </w:t>
      </w:r>
    </w:p>
    <w:p>
      <w:pPr>
        <w:autoSpaceDN w:val="0"/>
        <w:autoSpaceDE w:val="0"/>
        <w:widowControl/>
        <w:spacing w:line="245" w:lineRule="auto" w:before="238" w:after="0"/>
        <w:ind w:left="88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China proposed a revision of the Regulation on the Administration of Ozone Depleting Substances to </w:t>
      </w:r>
      <w:r>
        <w:rPr>
          <w:rFonts w:ascii="Cambria" w:hAnsi="Cambria" w:eastAsia="Cambria"/>
          <w:b w:val="0"/>
          <w:i w:val="0"/>
          <w:color w:val="000000"/>
          <w:sz w:val="22"/>
        </w:rPr>
        <w:t>further strengthen lifecycle regulations.</w:t>
      </w:r>
      <w:r>
        <w:rPr>
          <w:rFonts w:ascii="Cambria" w:hAnsi="Cambria" w:eastAsia="Cambria"/>
          <w:b w:val="0"/>
          <w:i w:val="0"/>
          <w:color w:val="000000"/>
          <w:sz w:val="14"/>
        </w:rPr>
        <w:t>18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The proposed revision to the regulation codified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monitoring and enforcement response to CFC-11 in addition to incorporating the HFC phase-down.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proposed revision includes increased penalties for illegal production, consumption and use, </w:t>
      </w:r>
    </w:p>
    <w:p>
      <w:pPr>
        <w:autoSpaceDN w:val="0"/>
        <w:autoSpaceDE w:val="0"/>
        <w:widowControl/>
        <w:spacing w:line="245" w:lineRule="auto" w:before="934" w:after="0"/>
        <w:ind w:left="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13"/>
        </w:rPr>
        <w:t>17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See: </w:t>
      </w:r>
      <w:r>
        <w:rPr>
          <w:rFonts w:ascii="Cambria" w:hAnsi="Cambria" w:eastAsia="Cambria"/>
          <w:b w:val="0"/>
          <w:i w:val="0"/>
          <w:color w:val="1E1E1E"/>
          <w:sz w:val="21"/>
        </w:rPr>
        <w:t>Report of China on progress made in the monitoring and management system of ozone-depleting</w:t>
      </w:r>
      <w:r>
        <w:rPr>
          <w:rFonts w:ascii="Cambria" w:hAnsi="Cambria" w:eastAsia="Cambria"/>
          <w:b w:val="0"/>
          <w:i w:val="0"/>
          <w:color w:val="1E1E1E"/>
          <w:sz w:val="21"/>
        </w:rPr>
        <w:t xml:space="preserve"> </w:t>
      </w:r>
      <w:r>
        <w:rPr>
          <w:rFonts w:ascii="Cambria" w:hAnsi="Cambria" w:eastAsia="Cambria"/>
          <w:b w:val="0"/>
          <w:i w:val="0"/>
          <w:color w:val="1E1E1E"/>
          <w:sz w:val="21"/>
        </w:rPr>
        <w:t>substa</w:t>
      </w:r>
      <w:r>
        <w:rPr>
          <w:rFonts w:ascii="Cambria" w:hAnsi="Cambria" w:eastAsia="Cambria"/>
          <w:b w:val="0"/>
          <w:i w:val="0"/>
          <w:color w:val="1E1E1E"/>
          <w:sz w:val="21"/>
        </w:rPr>
        <w:t>nces</w:t>
      </w:r>
      <w:r>
        <w:rPr>
          <w:rFonts w:ascii="Cambria" w:hAnsi="Cambria" w:eastAsia="Cambria"/>
          <w:b w:val="0"/>
          <w:i w:val="0"/>
          <w:color w:val="1E1E1E"/>
          <w:sz w:val="21"/>
        </w:rPr>
        <w:t xml:space="preserve"> </w:t>
      </w:r>
      <w:r>
        <w:rPr>
          <w:u w:val="single" w:color="1154cc"/>
          <w:rFonts w:ascii="Cambria" w:hAnsi="Cambria" w:eastAsia="Cambria"/>
          <w:b w:val="0"/>
          <w:i w:val="0"/>
          <w:color w:val="1155CC"/>
          <w:sz w:val="21"/>
        </w:rPr>
        <w:hyperlink r:id="rId13" w:history="1">
          <w:r>
            <w:rPr>
              <w:rStyle w:val="Hyperlink"/>
            </w:rPr>
            <w:t xml:space="preserve">https://ozone.unep.org/system/files/documents/MOP-31-INF-9E.pdf </w:t>
          </w:r>
        </w:hyperlink>
      </w:r>
      <w:r>
        <w:br/>
      </w:r>
      <w:r>
        <w:rPr>
          <w:rFonts w:ascii="Cambria" w:hAnsi="Cambria" w:eastAsia="Cambria"/>
          <w:b w:val="0"/>
          <w:i w:val="0"/>
          <w:color w:val="000000"/>
          <w:sz w:val="13"/>
        </w:rPr>
        <w:t>18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Ministry of Ecology and Environment, Notice on Public Solicitation of "Regulations on the Management of </w:t>
      </w:r>
      <w:r>
        <w:rPr>
          <w:rFonts w:ascii="Cambria" w:hAnsi="Cambria" w:eastAsia="Cambria"/>
          <w:b w:val="0"/>
          <w:i w:val="0"/>
          <w:color w:val="000000"/>
          <w:sz w:val="20"/>
        </w:rPr>
        <w:t>O</w:t>
      </w:r>
      <w:r>
        <w:rPr>
          <w:rFonts w:ascii="Cambria" w:hAnsi="Cambria" w:eastAsia="Cambria"/>
          <w:b w:val="0"/>
          <w:i w:val="0"/>
          <w:color w:val="000000"/>
          <w:sz w:val="20"/>
        </w:rPr>
        <w:hyperlink r:id="rId14" w:history="1">
          <w:r>
            <w:rPr>
              <w:rStyle w:val="Hyperlink"/>
            </w:rPr>
            <w:t>z</w:t>
          </w:r>
        </w:hyperlink>
      </w:r>
      <w:r>
        <w:rPr>
          <w:rFonts w:ascii="Cambria" w:hAnsi="Cambria" w:eastAsia="Cambria"/>
          <w:b w:val="0"/>
          <w:i w:val="0"/>
          <w:color w:val="000000"/>
          <w:sz w:val="20"/>
        </w:rPr>
        <w:hyperlink r:id="rId14" w:history="1">
          <w:r>
            <w:rPr>
              <w:rStyle w:val="Hyperlink"/>
            </w:rPr>
            <w:t>one Depleting Substances and Hydrofluorocarbons (Revised Draft for Solicitation of C</w:t>
          </w:r>
        </w:hyperlink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omments), May 2020, </w:t>
      </w:r>
      <w:r>
        <w:rPr>
          <w:rFonts w:ascii="Cambria" w:hAnsi="Cambria" w:eastAsia="Cambria"/>
          <w:b w:val="0"/>
          <w:i w:val="0"/>
          <w:color w:val="000000"/>
          <w:sz w:val="20"/>
        </w:rPr>
        <w:t>a</w:t>
      </w:r>
      <w:r>
        <w:rPr>
          <w:rFonts w:ascii="Cambria" w:hAnsi="Cambria" w:eastAsia="Cambria"/>
          <w:b w:val="0"/>
          <w:i w:val="0"/>
          <w:color w:val="000000"/>
          <w:sz w:val="20"/>
        </w:rPr>
        <w:t>t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</w:t>
      </w:r>
      <w:r>
        <w:rPr>
          <w:u w:val="single" w:color="1154cc"/>
          <w:rFonts w:ascii="Cambria" w:hAnsi="Cambria" w:eastAsia="Cambria"/>
          <w:b w:val="0"/>
          <w:i w:val="0"/>
          <w:color w:val="1155CC"/>
          <w:sz w:val="20"/>
        </w:rPr>
        <w:hyperlink r:id="rId14" w:history="1">
          <w:r>
            <w:rPr>
              <w:rStyle w:val="Hyperlink"/>
            </w:rPr>
            <w:t>http://www.mee.gov.cn/xxgk2018/xxgk/xxgk06/202005/t20200521_780130.html</w:t>
          </w:r>
        </w:hyperlink>
      </w:r>
    </w:p>
    <w:p>
      <w:pPr>
        <w:autoSpaceDN w:val="0"/>
        <w:autoSpaceDE w:val="0"/>
        <w:widowControl/>
        <w:spacing w:line="240" w:lineRule="auto" w:before="252" w:after="0"/>
        <w:ind w:left="0" w:right="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6 </w:t>
      </w:r>
    </w:p>
    <w:p>
      <w:pPr>
        <w:sectPr>
          <w:pgSz w:w="12240" w:h="15840"/>
          <w:pgMar w:top="720" w:right="1330" w:bottom="476" w:left="13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88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inclusion of raw materials and co-products in required reporting and control measures and 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platform to encourage citizen investigation and reporting on violations. </w:t>
      </w:r>
    </w:p>
    <w:p>
      <w:pPr>
        <w:autoSpaceDN w:val="0"/>
        <w:autoSpaceDE w:val="0"/>
        <w:widowControl/>
        <w:spacing w:line="240" w:lineRule="auto" w:before="242" w:after="0"/>
        <w:ind w:left="8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Law Enforcement Capacity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36" w:after="0"/>
        <w:ind w:left="88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China reported undertaking a number of activities aimed at increasing provincial and local level </w:t>
      </w:r>
      <w:r>
        <w:rPr>
          <w:rFonts w:ascii="Cambria" w:hAnsi="Cambria" w:eastAsia="Cambria"/>
          <w:b w:val="0"/>
          <w:i w:val="0"/>
          <w:color w:val="000000"/>
          <w:sz w:val="22"/>
        </w:rPr>
        <w:t>enforcement and testing capabilities.</w:t>
      </w:r>
      <w:r>
        <w:rPr>
          <w:rFonts w:ascii="Cambria" w:hAnsi="Cambria" w:eastAsia="Cambria"/>
          <w:b w:val="0"/>
          <w:i w:val="0"/>
          <w:color w:val="000000"/>
          <w:sz w:val="14"/>
        </w:rPr>
        <w:t>19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The Ministry of Ecology and Environment (MEE) provided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most provinces with 30 portable detectors by September 2019, and 20 more were to be allocated by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end of 2019 to ensure all provinces had the capability to rapidly detect illegal use. Six testing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laboratories were built, located in Beijing, Guangdong, Zhejiang, Shandong and Chongqing and two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more being built in Hebei and Henan provinces. MEE also developed two laboratory testing standards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protocols for determination of the presence of various CFCs and HCFCs in polyols and rigid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polyurethane foams using portable headspace gas chromatography and mass spectrometry. Finally,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they reported holding trainings and workshops on using portable detectors for officers from local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Ecological and Environmental Bureaus (EEBs) and establishing a whistleblower hotline and reward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fund, with posted notices for employees at production enterprises. </w:t>
      </w:r>
    </w:p>
    <w:p>
      <w:pPr>
        <w:autoSpaceDN w:val="0"/>
        <w:autoSpaceDE w:val="0"/>
        <w:widowControl/>
        <w:spacing w:line="240" w:lineRule="auto" w:before="240" w:after="0"/>
        <w:ind w:left="8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Monitoring of CFC Feedstock Production in Chloromethane Facilities</w:t>
      </w:r>
    </w:p>
    <w:p>
      <w:pPr>
        <w:autoSpaceDN w:val="0"/>
        <w:autoSpaceDE w:val="0"/>
        <w:widowControl/>
        <w:spacing w:line="245" w:lineRule="auto" w:before="236" w:after="0"/>
        <w:ind w:left="88" w:right="6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MEE has required enterprises generating CTC by-product to install verifiable and quantitative CTC </w:t>
      </w:r>
      <w:r>
        <w:rPr>
          <w:rFonts w:ascii="Cambria" w:hAnsi="Cambria" w:eastAsia="Cambria"/>
          <w:b w:val="0"/>
          <w:i w:val="0"/>
          <w:color w:val="000000"/>
          <w:sz w:val="22"/>
        </w:rPr>
        <w:t>online production monitoring systems.</w:t>
      </w:r>
      <w:r>
        <w:rPr>
          <w:rFonts w:ascii="Cambria" w:hAnsi="Cambria" w:eastAsia="Cambria"/>
          <w:b w:val="0"/>
          <w:i w:val="0"/>
          <w:color w:val="000000"/>
          <w:sz w:val="14"/>
        </w:rPr>
        <w:t>20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As of September 2019, 7 enterprises had completed the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installation and the rest were expected to finish installation by the end of 2019. Mandatory online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monitoring of CTC by-product in all chloromethane enterprises were anticipated to be in place from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2020 onward. </w:t>
      </w:r>
    </w:p>
    <w:p>
      <w:pPr>
        <w:autoSpaceDN w:val="0"/>
        <w:autoSpaceDE w:val="0"/>
        <w:widowControl/>
        <w:spacing w:line="240" w:lineRule="auto" w:before="240" w:after="0"/>
        <w:ind w:left="8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  <w:u w:val="single"/>
        </w:rPr>
        <w:t>Atmospheric Monitoring Network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36" w:after="240"/>
        <w:ind w:left="88" w:right="64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China reported forming an expert team to establish and improve monitoring technology and quality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control with a plan to construct additional atmospheric monitoring stations in 2021 for monitoring </w:t>
      </w:r>
      <w:r>
        <w:rPr>
          <w:rFonts w:ascii="Cambria" w:hAnsi="Cambria" w:eastAsia="Cambria"/>
          <w:b w:val="0"/>
          <w:i w:val="0"/>
          <w:color w:val="000000"/>
          <w:sz w:val="22"/>
        </w:rPr>
        <w:t>to commence in 2022.</w:t>
      </w:r>
      <w:r>
        <w:rPr>
          <w:rFonts w:ascii="Cambria" w:hAnsi="Cambria" w:eastAsia="Cambria"/>
          <w:b w:val="0"/>
          <w:i w:val="0"/>
          <w:color w:val="000000"/>
          <w:sz w:val="14"/>
        </w:rPr>
        <w:t>21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Details regarding the number of additional stations, locations,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availability and transparency of data sharing have not been reported.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58"/>
      </w:tblGrid>
      <w:tr>
        <w:trPr>
          <w:trHeight w:hRule="exact" w:val="376"/>
        </w:trPr>
        <w:tc>
          <w:tcPr>
            <w:tcW w:type="dxa" w:w="9538"/>
            <w:tcBorders/>
            <w:shd w:fill="4f81b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2"/>
              </w:rPr>
              <w:t>AREAS FOR FURTHER DISCUSSION AND INFORMATION GATHERING</w:t>
            </w:r>
          </w:p>
        </w:tc>
      </w:tr>
    </w:tbl>
    <w:p>
      <w:pPr>
        <w:autoSpaceDN w:val="0"/>
        <w:autoSpaceDE w:val="0"/>
        <w:widowControl/>
        <w:spacing w:line="245" w:lineRule="auto" w:before="240" w:after="180"/>
        <w:ind w:left="88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43rd OEWG online forum on CFC-11 and virtual discussions offer the opportunity to continue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discussions on key information needed to gain further clarity and certainty. Discussions should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encourage gathering additional data, research, and analysis to further inform needed actions to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address ongoing unreported production and use of CFC-11 and the impacts (e.g. on the size of CFC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banks) of the illegal production and use of CFC-11 since 2007. Additional information sharing by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China and other Parties, as well as additional expert analysis by TEAP and SAP could include: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.00000000000011" w:type="dxa"/>
      </w:tblPr>
      <w:tblGrid>
        <w:gridCol w:w="4779"/>
        <w:gridCol w:w="4779"/>
      </w:tblGrid>
      <w:tr>
        <w:trPr>
          <w:trHeight w:hRule="exact" w:val="1478"/>
        </w:trPr>
        <w:tc>
          <w:tcPr>
            <w:tcW w:type="dxa" w:w="58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88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Deriving lessons learnt from facilities producing CFC-11 that have already been identified in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China, especially regarding facilities’ production methodology, raw materials and their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routes, production capacity, location and sales markets. Further information on whether </w:t>
            </w:r>
          </w:p>
        </w:tc>
      </w:tr>
    </w:tbl>
    <w:p>
      <w:pPr>
        <w:autoSpaceDN w:val="0"/>
        <w:autoSpaceDE w:val="0"/>
        <w:widowControl/>
        <w:spacing w:line="230" w:lineRule="exact" w:before="316" w:after="0"/>
        <w:ind w:left="88" w:right="80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19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Supra, note 20.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20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Ibid.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21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Ibid.</w:t>
      </w:r>
    </w:p>
    <w:p>
      <w:pPr>
        <w:autoSpaceDN w:val="0"/>
        <w:autoSpaceDE w:val="0"/>
        <w:widowControl/>
        <w:spacing w:line="240" w:lineRule="auto" w:before="258" w:after="0"/>
        <w:ind w:left="0" w:right="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7 </w:t>
      </w:r>
    </w:p>
    <w:p>
      <w:pPr>
        <w:sectPr>
          <w:pgSz w:w="12240" w:h="15840"/>
          <w:pgMar w:top="720" w:right="1330" w:bottom="476" w:left="13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9"/>
        <w:gridCol w:w="4779"/>
      </w:tblGrid>
      <w:tr>
        <w:trPr>
          <w:trHeight w:hRule="exact" w:val="5994"/>
        </w:trPr>
        <w:tc>
          <w:tcPr>
            <w:tcW w:type="dxa" w:w="6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16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155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1032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258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774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8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any of the illegal CFC-11 production facilities were previously producing HCFC-22 should be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prioritized. </w:t>
            </w:r>
          </w:p>
          <w:p>
            <w:pPr>
              <w:autoSpaceDN w:val="0"/>
              <w:autoSpaceDE w:val="0"/>
              <w:widowControl/>
              <w:spacing w:line="245" w:lineRule="auto" w:before="12" w:after="0"/>
              <w:ind w:left="140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Deriving lessons from seizure and testing of products in foam enterprises found using CFC-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11 in China, including concentration of CFC-11 used and potential emissions that may be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derived from widespread use in these facilities could help further confirm the size 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distribution of the CFC-11 bank, and confirm TEAP’s initial conclusion regarding the timing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that the illegal use of CFC-11 began among other unknown factors about its use. EIA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continues to urge China to undertake large-scale sampling and testing of existing PU foams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in the construction and refrigeration industry. </w:t>
            </w:r>
          </w:p>
          <w:p>
            <w:pPr>
              <w:autoSpaceDN w:val="0"/>
              <w:autoSpaceDE w:val="0"/>
              <w:widowControl/>
              <w:spacing w:line="245" w:lineRule="auto" w:before="12" w:after="0"/>
              <w:ind w:left="140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Reporting on domestic efforts to monitor and verify CTC production and sales. Given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ongoing uncertainties in emissions originating from outside China due to lack of regional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atmospheric monitoring and strong likelihood of linkages to availability of CTC feedstock,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EIA recommends all Parties with CTC production for feedstock require verifiable live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monitoring systems for CTC production. </w:t>
            </w:r>
          </w:p>
          <w:p>
            <w:pPr>
              <w:autoSpaceDN w:val="0"/>
              <w:autoSpaceDE w:val="0"/>
              <w:widowControl/>
              <w:spacing w:line="245" w:lineRule="auto" w:before="12" w:after="0"/>
              <w:ind w:left="140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Augmenting the understanding of the supply chain of pre-blended polyols as well as the PU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sector and polyol trade.</w:t>
            </w:r>
          </w:p>
          <w:p>
            <w:pPr>
              <w:autoSpaceDN w:val="0"/>
              <w:autoSpaceDE w:val="0"/>
              <w:widowControl/>
              <w:spacing w:line="245" w:lineRule="auto" w:before="12" w:after="0"/>
              <w:ind w:left="140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Estimating the size, nature and emissions rates of banks of controlled gases to ensure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robust enforcement with a view to building an international action plan to prevent billions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of CO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e tonnes of avoidable emissions, as new scientific papers continue to underline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importance of calculating this. </w:t>
            </w:r>
          </w:p>
          <w:p>
            <w:pPr>
              <w:autoSpaceDN w:val="0"/>
              <w:autoSpaceDE w:val="0"/>
              <w:widowControl/>
              <w:spacing w:line="245" w:lineRule="auto" w:before="12" w:after="0"/>
              <w:ind w:left="140" w:right="86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Clarifying the scientific consensus on CFC lifetimes, which has implications on CFC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emissions and the size of the remaining bank.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58"/>
      </w:tblGrid>
      <w:tr>
        <w:trPr>
          <w:trHeight w:hRule="exact" w:val="376"/>
        </w:trPr>
        <w:tc>
          <w:tcPr>
            <w:tcW w:type="dxa" w:w="9538"/>
            <w:tcBorders/>
            <w:shd w:fill="4f81b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2"/>
              </w:rPr>
              <w:t>CONCLUSION</w:t>
            </w:r>
          </w:p>
        </w:tc>
      </w:tr>
    </w:tbl>
    <w:p>
      <w:pPr>
        <w:autoSpaceDN w:val="0"/>
        <w:autoSpaceDE w:val="0"/>
        <w:widowControl/>
        <w:spacing w:line="245" w:lineRule="auto" w:before="240" w:after="0"/>
        <w:ind w:left="88" w:right="6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There remain a number of critical gaps in data and understanding of the unexpected emissions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illegal production and use of CFC-11. The CFC-11 experience has been informative, but still requires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significant additional efforts to ensure the causes and impacts of this issue are fully understood and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addressed and to ensure sustained implementation of the Montreal Protocol. The experience has also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triggered discussion of the Montreal Protocol’s institutions and controls, highlighting a broad set of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shortcomings that must be addressed as well as foreshadowing several new issues that will arise in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HCFC and HFC regimes. The insights generated thus far provide a solid foundation to build upon,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but a broader examination of the institutions and processes of the Montreal Protocol as a whole is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necessary, in order to ensure it is prepared to take on the growing challenges of the ongoing HCFC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phase-out and the new controls under the Kigali Amendment. </w:t>
      </w:r>
    </w:p>
    <w:p>
      <w:pPr>
        <w:autoSpaceDN w:val="0"/>
        <w:autoSpaceDE w:val="0"/>
        <w:widowControl/>
        <w:spacing w:line="245" w:lineRule="auto" w:before="238" w:after="476"/>
        <w:ind w:left="88" w:right="62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The failure to detect ongoing production and use of CFC-11 prior to its scientific discovery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necessitates a very serious look at the current monitoring, reporting, verification (MRV)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requirements and procedures of the Montreal Protocol. Parties should use the upcoming OEWG to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complete the task set out in the CFC-11 contact group at OEWG 2019, and prepare to initiate a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comprehensive fitness check at the next Meeting of the Parties, with clear timetables for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consideration and adoption of needed improvements, whether via decisions, adjustments or future 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amendments. </w:t>
      </w:r>
    </w:p>
    <w:p>
      <w:pPr>
        <w:sectPr>
          <w:pgSz w:w="12240" w:h="15840"/>
          <w:pgMar w:top="720" w:right="1330" w:bottom="476" w:left="13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8" w:right="432" w:firstLine="0"/>
        <w:jc w:val="left"/>
      </w:pPr>
      <w:r>
        <w:rPr>
          <w:rFonts w:ascii="Cambria" w:hAnsi="Cambria" w:eastAsia="Cambria"/>
          <w:b w:val="0"/>
          <w:i/>
          <w:color w:val="243F60"/>
          <w:sz w:val="20"/>
        </w:rPr>
        <w:t xml:space="preserve">EIA US, PO Box 53343 Washington DC 20009 USA </w:t>
      </w:r>
      <w:r>
        <w:rPr>
          <w:rFonts w:ascii="Cambria" w:hAnsi="Cambria" w:eastAsia="Cambria"/>
          <w:b w:val="0"/>
          <w:i/>
          <w:color w:val="243F60"/>
          <w:sz w:val="20"/>
        </w:rPr>
        <w:t>T:</w:t>
      </w:r>
      <w:r>
        <w:rPr>
          <w:rFonts w:ascii="Cambria" w:hAnsi="Cambria" w:eastAsia="Cambria"/>
          <w:b w:val="0"/>
          <w:i/>
          <w:color w:val="243F60"/>
          <w:sz w:val="20"/>
        </w:rPr>
        <w:hyperlink r:id="rId15" w:history="1">
          <w:r>
            <w:rPr>
              <w:rStyle w:val="Hyperlink"/>
            </w:rPr>
            <w:t xml:space="preserve"> +1 202 483 6621 </w:t>
          </w:r>
        </w:hyperlink>
      </w:r>
      <w:r>
        <w:br/>
      </w:r>
      <w:r>
        <w:rPr>
          <w:rFonts w:ascii="Cambria" w:hAnsi="Cambria" w:eastAsia="Cambria"/>
          <w:b w:val="0"/>
          <w:i/>
          <w:color w:val="243F60"/>
          <w:sz w:val="20"/>
        </w:rPr>
        <w:t>E:</w:t>
      </w:r>
      <w:r>
        <w:rPr>
          <w:rFonts w:ascii="Cambria" w:hAnsi="Cambria" w:eastAsia="Cambria"/>
          <w:b w:val="0"/>
          <w:i/>
          <w:color w:val="243F60"/>
          <w:sz w:val="20"/>
        </w:rPr>
        <w:hyperlink r:id="rId15" w:history="1">
          <w:r>
            <w:rPr>
              <w:rStyle w:val="Hyperlink"/>
            </w:rPr>
            <w:t xml:space="preserve"> info@eia-global.org </w:t>
          </w:r>
        </w:hyperlink>
      </w:r>
    </w:p>
    <w:p>
      <w:pPr>
        <w:sectPr>
          <w:type w:val="continuous"/>
          <w:pgSz w:w="12240" w:h="15840"/>
          <w:pgMar w:top="720" w:right="1330" w:bottom="476" w:left="1352" w:header="720" w:footer="720" w:gutter="0"/>
          <w:cols w:num="2" w:equalWidth="0">
            <w:col w:w="4676" w:space="0"/>
            <w:col w:w="488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"/>
        <w:ind w:left="454" w:right="432" w:firstLine="0"/>
        <w:jc w:val="left"/>
      </w:pPr>
      <w:r>
        <w:rPr>
          <w:rFonts w:ascii="Cambria" w:hAnsi="Cambria" w:eastAsia="Cambria"/>
          <w:b w:val="0"/>
          <w:i/>
          <w:color w:val="243F60"/>
          <w:sz w:val="20"/>
        </w:rPr>
        <w:t xml:space="preserve">EIA UK, 62-63 Upper Street, London N1 0NY UK </w:t>
      </w:r>
      <w:r>
        <w:rPr>
          <w:rFonts w:ascii="Cambria" w:hAnsi="Cambria" w:eastAsia="Cambria"/>
          <w:b w:val="0"/>
          <w:i/>
          <w:color w:val="243F60"/>
          <w:sz w:val="20"/>
        </w:rPr>
        <w:t>T:</w:t>
      </w:r>
      <w:r>
        <w:rPr>
          <w:rFonts w:ascii="Cambria" w:hAnsi="Cambria" w:eastAsia="Cambria"/>
          <w:b w:val="0"/>
          <w:i/>
          <w:color w:val="243F60"/>
          <w:sz w:val="20"/>
        </w:rPr>
        <w:hyperlink r:id="rId16" w:history="1">
          <w:r>
            <w:rPr>
              <w:rStyle w:val="Hyperlink"/>
            </w:rPr>
            <w:t xml:space="preserve"> +44 (0) 20 7354 7960 </w:t>
          </w:r>
        </w:hyperlink>
      </w:r>
      <w:r>
        <w:br/>
      </w:r>
      <w:r>
        <w:rPr>
          <w:rFonts w:ascii="Cambria" w:hAnsi="Cambria" w:eastAsia="Cambria"/>
          <w:b w:val="0"/>
          <w:i/>
          <w:color w:val="243F60"/>
          <w:sz w:val="20"/>
        </w:rPr>
        <w:t>E:</w:t>
      </w:r>
      <w:r>
        <w:rPr>
          <w:rFonts w:ascii="Cambria" w:hAnsi="Cambria" w:eastAsia="Cambria"/>
          <w:b w:val="0"/>
          <w:i/>
          <w:color w:val="243F60"/>
          <w:sz w:val="20"/>
        </w:rPr>
        <w:hyperlink r:id="rId16" w:history="1">
          <w:r>
            <w:rPr>
              <w:rStyle w:val="Hyperlink"/>
            </w:rPr>
            <w:t xml:space="preserve"> ukinfo@eia-international.org </w:t>
          </w:r>
        </w:hyperlink>
      </w:r>
    </w:p>
    <w:p>
      <w:pPr>
        <w:sectPr>
          <w:type w:val="nextColumn"/>
          <w:pgSz w:w="12240" w:h="15840"/>
          <w:pgMar w:top="720" w:right="1330" w:bottom="476" w:left="1352" w:header="720" w:footer="720" w:gutter="0"/>
          <w:cols w:num="2" w:equalWidth="0">
            <w:col w:w="4676" w:space="0"/>
            <w:col w:w="4882" w:space="0"/>
          </w:cols>
          <w:docGrid w:linePitch="360"/>
        </w:sectPr>
      </w:pPr>
    </w:p>
    <w:p>
      <w:pPr>
        <w:autoSpaceDN w:val="0"/>
        <w:tabs>
          <w:tab w:pos="5130" w:val="left"/>
        </w:tabs>
        <w:autoSpaceDE w:val="0"/>
        <w:widowControl/>
        <w:spacing w:line="238" w:lineRule="auto" w:before="0" w:after="0"/>
        <w:ind w:left="88" w:right="0" w:firstLine="0"/>
        <w:jc w:val="left"/>
      </w:pPr>
      <w:r>
        <w:rPr>
          <w:rFonts w:ascii="Cambria" w:hAnsi="Cambria" w:eastAsia="Cambria"/>
          <w:b w:val="0"/>
          <w:i/>
          <w:color w:val="243F60"/>
          <w:sz w:val="20"/>
        </w:rPr>
        <w:t xml:space="preserve">eia-global.org </w:t>
      </w:r>
      <w:r>
        <w:tab/>
      </w:r>
      <w:r>
        <w:rPr>
          <w:rFonts w:ascii="Cambria" w:hAnsi="Cambria" w:eastAsia="Cambria"/>
          <w:b w:val="0"/>
          <w:i/>
          <w:color w:val="243F60"/>
          <w:sz w:val="20"/>
        </w:rPr>
        <w:t xml:space="preserve">eia-international.org </w:t>
      </w:r>
    </w:p>
    <w:p>
      <w:pPr>
        <w:autoSpaceDN w:val="0"/>
        <w:autoSpaceDE w:val="0"/>
        <w:widowControl/>
        <w:spacing w:line="240" w:lineRule="auto" w:before="564" w:after="0"/>
        <w:ind w:left="0" w:right="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8 </w:t>
      </w:r>
    </w:p>
    <w:p>
      <w:pPr>
        <w:sectPr>
          <w:type w:val="continuous"/>
          <w:pgSz w:w="12240" w:h="15840"/>
          <w:pgMar w:top="720" w:right="1330" w:bottom="476" w:left="13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58"/>
      </w:tblGrid>
      <w:tr>
        <w:trPr>
          <w:trHeight w:hRule="exact" w:val="340"/>
        </w:trPr>
        <w:tc>
          <w:tcPr>
            <w:tcW w:type="dxa" w:w="9538"/>
            <w:tcBorders/>
            <w:shd w:fill="4f81b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8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2"/>
              </w:rPr>
              <w:t xml:space="preserve">ANNEX 1: LIST OF KEY MONTREAL PROTOCOL DOCUMENTS RELEVANT TO CFC-11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.000000000000114" w:type="dxa"/>
      </w:tblPr>
      <w:tblGrid>
        <w:gridCol w:w="9558"/>
      </w:tblGrid>
      <w:tr>
        <w:trPr>
          <w:trHeight w:hRule="exact" w:val="338"/>
        </w:trPr>
        <w:tc>
          <w:tcPr>
            <w:tcW w:type="dxa" w:w="5500"/>
            <w:tcBorders/>
            <w:shd w:fill="4f81b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60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2"/>
              </w:rPr>
              <w:t xml:space="preserve">DISCUSSION </w:t>
            </w:r>
          </w:p>
        </w:tc>
      </w:tr>
    </w:tbl>
    <w:p>
      <w:pPr>
        <w:autoSpaceDN w:val="0"/>
        <w:autoSpaceDE w:val="0"/>
        <w:widowControl/>
        <w:spacing w:line="240" w:lineRule="auto" w:before="236" w:after="178"/>
        <w:ind w:left="8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30th MOP (Ecuador, 2018)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.0000000000001" w:type="dxa"/>
      </w:tblPr>
      <w:tblGrid>
        <w:gridCol w:w="4779"/>
        <w:gridCol w:w="4779"/>
      </w:tblGrid>
      <w:tr>
        <w:trPr>
          <w:trHeight w:hRule="exact" w:val="100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auto" w:before="60" w:after="0"/>
              <w:ind w:left="144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40" w:right="72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hyperlink r:id="rId17" w:history="1">
                <w:r>
                  <w:rPr>
                    <w:rStyle w:val="Hyperlink"/>
                  </w:rPr>
                  <w:t xml:space="preserve">Issues from Secretariat for attention of parties: </w:t>
                </w:r>
              </w:hyperlink>
            </w:r>
            <w:r>
              <w:br/>
            </w:r>
            <w:r>
              <w:rPr>
                <w:u w:val="single" w:color="1154cc"/>
                <w:rFonts w:ascii="Cambria" w:hAnsi="Cambria" w:eastAsia="Cambria"/>
                <w:b w:val="0"/>
                <w:i w:val="0"/>
                <w:color w:val="1155CC"/>
                <w:sz w:val="22"/>
              </w:rPr>
              <w:hyperlink r:id="rId17" w:history="1">
                <w:r>
                  <w:rPr>
                    <w:rStyle w:val="Hyperlink"/>
                  </w:rPr>
                  <w:t>https://ozone.unep.org/system/files/documents/OEWG-40-INF-2-Add-1.pdf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11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Scientific Assessment of Ozone Depletion 2018 </w:t>
            </w:r>
          </w:p>
        </w:tc>
      </w:tr>
    </w:tbl>
    <w:p>
      <w:pPr>
        <w:autoSpaceDN w:val="0"/>
        <w:autoSpaceDE w:val="0"/>
        <w:widowControl/>
        <w:spacing w:line="240" w:lineRule="auto" w:before="48" w:after="50"/>
        <w:ind w:left="808" w:right="0" w:firstLine="0"/>
        <w:jc w:val="left"/>
      </w:pPr>
      <w:r>
        <w:rPr>
          <w:u w:val="single" w:color="006fc0"/>
          <w:rFonts w:ascii="Cambria" w:hAnsi="Cambria" w:eastAsia="Cambria"/>
          <w:b w:val="0"/>
          <w:i w:val="0"/>
          <w:color w:val="0070C0"/>
          <w:sz w:val="22"/>
        </w:rPr>
        <w:t>SAP-2018-Assessment-report.pdf</w:t>
      </w:r>
      <w:r>
        <w:rPr>
          <w:rFonts w:ascii="Cambria" w:hAnsi="Cambria" w:eastAsia="Cambria"/>
          <w:b w:val="0"/>
          <w:i w:val="0"/>
          <w:color w:val="0070C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.0000000000001" w:type="dxa"/>
      </w:tblPr>
      <w:tblGrid>
        <w:gridCol w:w="4779"/>
        <w:gridCol w:w="4779"/>
      </w:tblGrid>
      <w:tr>
        <w:trPr>
          <w:trHeight w:hRule="exact" w:val="62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8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2" w:after="0"/>
              <w:ind w:left="140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Scientific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 Assessment Panel - Preliminary discussion of the new report on increased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emissions of CFC-11 </w:t>
            </w:r>
          </w:p>
        </w:tc>
      </w:tr>
    </w:tbl>
    <w:p>
      <w:pPr>
        <w:autoSpaceDN w:val="0"/>
        <w:tabs>
          <w:tab w:pos="808" w:val="left"/>
        </w:tabs>
        <w:autoSpaceDE w:val="0"/>
        <w:widowControl/>
        <w:spacing w:line="300" w:lineRule="auto" w:before="50" w:after="0"/>
        <w:ind w:left="448" w:right="72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FF"/>
          <w:sz w:val="22"/>
          <w:u w:val="single"/>
        </w:rPr>
        <w:hyperlink r:id="rId18" w:history="1">
          <w:r>
            <w:rPr>
              <w:rStyle w:val="Hyperlink"/>
            </w:rPr>
            <w:t>https://ozone.unep.org/meetings/thirtieth-meeting-parties/pre-session-documents</w:t>
          </w:r>
        </w:hyperlink>
      </w:r>
      <w:r>
        <w:rPr>
          <w:rFonts w:ascii="Symbol" w:hAnsi="Symbol" w:eastAsia="Symbol"/>
          <w:b w:val="0"/>
          <w:i w:val="0"/>
          <w:color w:val="000000"/>
          <w:sz w:val="22"/>
        </w:rPr>
        <w:t></w:t>
      </w:r>
      <w:r>
        <w:tab/>
      </w:r>
      <w:r>
        <w:rPr>
          <w:rFonts w:ascii="Cambria" w:hAnsi="Cambria" w:eastAsia="Cambria"/>
          <w:b w:val="0"/>
          <w:i w:val="0"/>
          <w:color w:val="1E1E1E"/>
          <w:sz w:val="22"/>
        </w:rPr>
        <w:t>TEAP</w:t>
      </w:r>
      <w:r>
        <w:rPr>
          <w:rFonts w:ascii="Cambria" w:hAnsi="Cambria" w:eastAsia="Cambria"/>
          <w:b w:val="0"/>
          <w:i w:val="0"/>
          <w:color w:val="000000"/>
          <w:sz w:val="22"/>
        </w:rPr>
        <w:t xml:space="preserve"> - Background Information - Overview - CFC-11 emissions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FF"/>
          <w:sz w:val="22"/>
          <w:u w:val="single"/>
        </w:rPr>
        <w:hyperlink r:id="rId18" w:history="1">
          <w:r>
            <w:rPr>
              <w:rStyle w:val="Hyperlink"/>
            </w:rPr>
            <w:t>https://ozone.unep.org/meetings/thirtieth-meeting-parties/pre-session-documents</w:t>
          </w:r>
        </w:hyperlink>
      </w:r>
    </w:p>
    <w:p>
      <w:pPr>
        <w:autoSpaceDN w:val="0"/>
        <w:autoSpaceDE w:val="0"/>
        <w:widowControl/>
        <w:spacing w:line="240" w:lineRule="auto" w:before="204" w:after="176"/>
        <w:ind w:left="8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41st OEWG (Thailand, 2019)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.0000000000001" w:type="dxa"/>
      </w:tblPr>
      <w:tblGrid>
        <w:gridCol w:w="4779"/>
        <w:gridCol w:w="4779"/>
      </w:tblGrid>
      <w:tr>
        <w:trPr>
          <w:trHeight w:hRule="exact" w:val="304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616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356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618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E1E1E"/>
                <w:sz w:val="22"/>
              </w:rPr>
              <w:t>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40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Unexpected emissions of CFC-11: overview outlining the procedures under the Montreal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hyperlink r:id="rId19" w:history="1">
                <w:r>
                  <w:rPr>
                    <w:rStyle w:val="Hyperlink"/>
                  </w:rPr>
                  <w:t>Protocol and Multilateral Fund in response to decision XXX/3 parag</w:t>
                </w:r>
              </w:hyperlink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raph 6 </w:t>
            </w:r>
            <w:r>
              <w:br/>
            </w:r>
            <w:r>
              <w:rPr>
                <w:u w:val="single" w:color="1154cc"/>
                <w:rFonts w:ascii="Cambria" w:hAnsi="Cambria" w:eastAsia="Cambria"/>
                <w:b w:val="0"/>
                <w:i w:val="0"/>
                <w:color w:val="1155CC"/>
                <w:sz w:val="22"/>
              </w:rPr>
              <w:hyperlink r:id="rId19" w:history="1">
                <w:r>
                  <w:rPr>
                    <w:rStyle w:val="Hyperlink"/>
                  </w:rPr>
                  <w:t>https://ozone.unep.org/system/files/documents/OEWG-41-3E.pdf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5" w:lineRule="auto" w:before="114" w:after="0"/>
              <w:ind w:left="140" w:right="129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hyperlink r:id="rId20" w:history="1">
                <w:r>
                  <w:rPr>
                    <w:rStyle w:val="Hyperlink"/>
                  </w:rPr>
                  <w:t>Monitoring and management system for ozone-depleting substances in</w:t>
                </w:r>
              </w:hyperlink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 China </w:t>
            </w:r>
            <w:r>
              <w:rPr>
                <w:u w:val="single" w:color="006fc0"/>
                <w:rFonts w:ascii="Cambria" w:hAnsi="Cambria" w:eastAsia="Cambria"/>
                <w:b w:val="0"/>
                <w:i w:val="0"/>
                <w:color w:val="0070C0"/>
                <w:sz w:val="22"/>
              </w:rPr>
              <w:hyperlink r:id="rId20" w:history="1">
                <w:r>
                  <w:rPr>
                    <w:rStyle w:val="Hyperlink"/>
                  </w:rPr>
                  <w:t>https://ozone.unep.org/system/files/documents/OEWG-41-INF-7.pdf</w:t>
                </w:r>
              </w:hyperlink>
            </w:r>
            <w:r>
              <w:rPr>
                <w:rFonts w:ascii="Cambria" w:hAnsi="Cambria" w:eastAsia="Cambria"/>
                <w:b w:val="0"/>
                <w:i w:val="0"/>
                <w:color w:val="0070C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110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Report on the International Sym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posium on the Unexpected Increase in Emissions of Ozone-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Depleting CFC-11 - DRAFT Copy </w:t>
            </w:r>
            <w:r>
              <w:rPr>
                <w:u w:val="single" w:color="1154cc"/>
                <w:rFonts w:ascii="Cambria" w:hAnsi="Cambria" w:eastAsia="Cambria"/>
                <w:b w:val="0"/>
                <w:i w:val="0"/>
                <w:color w:val="1155CC"/>
                <w:sz w:val="22"/>
              </w:rPr>
              <w:t>https://ozone.unep.org/system/files/documents/CFC-</w:t>
            </w:r>
            <w:r>
              <w:rPr>
                <w:u w:val="single" w:color="1154cc"/>
                <w:rFonts w:ascii="Cambria" w:hAnsi="Cambria" w:eastAsia="Cambria"/>
                <w:b w:val="0"/>
                <w:i w:val="0"/>
                <w:color w:val="1155CC"/>
                <w:sz w:val="22"/>
              </w:rPr>
              <w:t>11_Symposium_SPARC_2019-06</w:t>
            </w:r>
            <w:r>
              <w:rPr>
                <w:u w:val="single" w:color="1154cc"/>
                <w:rFonts w:ascii="Cambria" w:hAnsi="Cambria" w:eastAsia="Cambria"/>
                <w:b w:val="0"/>
                <w:i w:val="0"/>
                <w:color w:val="1155CC"/>
                <w:sz w:val="22"/>
              </w:rPr>
              <w:t>-23.pdf</w:t>
            </w:r>
          </w:p>
          <w:p>
            <w:pPr>
              <w:autoSpaceDN w:val="0"/>
              <w:autoSpaceDE w:val="0"/>
              <w:widowControl/>
              <w:spacing w:line="245" w:lineRule="auto" w:before="112" w:after="0"/>
              <w:ind w:left="140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TEAP May 2019: Decisio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n XXX/3 TEAP Task F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orce Report on unexpected emissions 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>Trichlorofluoromethane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 (CFC-11) (Volume 3)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808" w:right="1008" w:firstLine="0"/>
        <w:jc w:val="left"/>
      </w:pPr>
      <w:r>
        <w:rPr>
          <w:rFonts w:ascii="Cambria" w:hAnsi="Cambria" w:eastAsia="Cambria"/>
          <w:b w:val="0"/>
          <w:i w:val="0"/>
          <w:color w:val="0000FF"/>
          <w:sz w:val="22"/>
          <w:u w:val="single"/>
        </w:rPr>
        <w:hyperlink r:id="rId21" w:history="1">
          <w:r>
            <w:rPr>
              <w:rStyle w:val="Hyperlink"/>
            </w:rPr>
            <w:t>https://ozone.unep.org/sites/default/files/2020-07</w:t>
          </w:r>
        </w:hyperlink>
      </w:r>
      <w:r>
        <w:rPr>
          <w:rFonts w:ascii="Cambria" w:hAnsi="Cambria" w:eastAsia="Cambria"/>
          <w:b w:val="0"/>
          <w:i w:val="0"/>
          <w:color w:val="0000FF"/>
          <w:sz w:val="22"/>
          <w:u w:val="single"/>
        </w:rPr>
        <w:hyperlink r:id="rId21" w:history="1">
          <w:r>
            <w:rPr>
              <w:rStyle w:val="Hyperlink"/>
            </w:rPr>
            <w:t>/TEAP_Task_Force_Dec_XXX-</w:t>
          </w:r>
        </w:hyperlink>
      </w:r>
      <w:r>
        <w:rPr>
          <w:rFonts w:ascii="Cambria" w:hAnsi="Cambria" w:eastAsia="Cambria"/>
          <w:b w:val="0"/>
          <w:i w:val="0"/>
          <w:color w:val="0000FF"/>
          <w:sz w:val="22"/>
          <w:u w:val="single"/>
        </w:rPr>
        <w:hyperlink r:id="rId21" w:history="1">
          <w:r>
            <w:rPr>
              <w:rStyle w:val="Hyperlink"/>
            </w:rPr>
            <w:t>3_on_Unexpected_CFC-11_Emissions_May_2019.pdf</w:t>
          </w:r>
        </w:hyperlink>
      </w:r>
    </w:p>
    <w:p>
      <w:pPr>
        <w:autoSpaceDN w:val="0"/>
        <w:autoSpaceDE w:val="0"/>
        <w:widowControl/>
        <w:spacing w:line="240" w:lineRule="auto" w:before="202" w:after="176"/>
        <w:ind w:left="8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63rd ImpCom (Rome, 2019)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.0000000000001" w:type="dxa"/>
      </w:tblPr>
      <w:tblGrid>
        <w:gridCol w:w="4779"/>
        <w:gridCol w:w="4779"/>
      </w:tblGrid>
      <w:tr>
        <w:trPr>
          <w:trHeight w:hRule="exact" w:val="64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</w:tc>
        <w:tc>
          <w:tcPr>
            <w:tcW w:type="dxa" w:w="8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40" w:right="57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2"/>
              </w:rPr>
              <w:t xml:space="preserve">Report: Annex II on possible ways of dealing with illegal production and trade </w:t>
            </w:r>
            <w:r>
              <w:rPr>
                <w:u w:val="single" w:color="1154cc"/>
                <w:rFonts w:ascii="Cambria" w:hAnsi="Cambria" w:eastAsia="Cambria"/>
                <w:b w:val="0"/>
                <w:i w:val="0"/>
                <w:color w:val="1155CC"/>
                <w:sz w:val="22"/>
              </w:rPr>
              <w:t>https://ozone.unep.org/system/files/documents/IMPCOM-63-6E.pdf</w:t>
            </w:r>
          </w:p>
        </w:tc>
      </w:tr>
    </w:tbl>
    <w:p>
      <w:pPr>
        <w:autoSpaceDN w:val="0"/>
        <w:autoSpaceDE w:val="0"/>
        <w:widowControl/>
        <w:spacing w:line="240" w:lineRule="auto" w:before="146" w:after="176"/>
        <w:ind w:left="8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31st MOP (Rome, 2019)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8.0000000000001" w:type="dxa"/>
      </w:tblPr>
      <w:tblGrid>
        <w:gridCol w:w="4779"/>
        <w:gridCol w:w="4779"/>
      </w:tblGrid>
      <w:tr>
        <w:trPr>
          <w:trHeight w:hRule="exact" w:val="241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616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E1E1E"/>
                <w:sz w:val="22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356" w:after="0"/>
              <w:ind w:left="0" w:right="11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1E1E1E"/>
                <w:sz w:val="22"/>
              </w:rPr>
              <w:t></w:t>
            </w:r>
          </w:p>
        </w:tc>
        <w:tc>
          <w:tcPr>
            <w:tcW w:type="dxa" w:w="8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Unexpected emissions of CFC-11: u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hyperlink r:id="rId22" w:history="1">
                <w:r>
                  <w:rPr>
                    <w:rStyle w:val="Hyperlink"/>
                  </w:rPr>
                  <w:t>pdate to the overview provided at the forty-first meetin</w:t>
                </w:r>
              </w:hyperlink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hyperlink r:id="rId22" w:history="1">
                <w:r>
                  <w:rPr>
                    <w:rStyle w:val="Hyperlink"/>
                  </w:rPr>
                  <w:t>g</w:t>
                </w:r>
              </w:hyperlink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 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of the Ope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n-ended Working Group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 </w:t>
            </w:r>
            <w:r>
              <w:rPr>
                <w:u w:val="single" w:color="1154cc"/>
                <w:rFonts w:ascii="Cambria" w:hAnsi="Cambria" w:eastAsia="Cambria"/>
                <w:b w:val="0"/>
                <w:i w:val="0"/>
                <w:color w:val="1155CC"/>
                <w:sz w:val="22"/>
              </w:rPr>
              <w:hyperlink r:id="rId22" w:history="1">
                <w:r>
                  <w:rPr>
                    <w:rStyle w:val="Hyperlink"/>
                  </w:rPr>
                  <w:t>https://ozone.unep.org/system/files/documents/MOP-</w:t>
                </w:r>
              </w:hyperlink>
            </w:r>
            <w:r>
              <w:rPr>
                <w:u w:val="single" w:color="1154cc"/>
                <w:rFonts w:ascii="Cambria" w:hAnsi="Cambria" w:eastAsia="Cambria"/>
                <w:b w:val="0"/>
                <w:i w:val="0"/>
                <w:color w:val="1155CC"/>
                <w:sz w:val="22"/>
              </w:rPr>
              <w:t>31-6E.pdf</w:t>
            </w:r>
          </w:p>
          <w:p>
            <w:pPr>
              <w:autoSpaceDN w:val="0"/>
              <w:autoSpaceDE w:val="0"/>
              <w:widowControl/>
              <w:spacing w:line="245" w:lineRule="auto" w:before="114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Report of China on pr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hyperlink r:id="rId13" w:history="1">
                <w:r>
                  <w:rPr>
                    <w:rStyle w:val="Hyperlink"/>
                  </w:rPr>
                  <w:t>ogress made in the monitoring and management system of ozone-</w:t>
                </w:r>
              </w:hyperlink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depleting substances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 </w:t>
            </w:r>
            <w:r>
              <w:rPr>
                <w:u w:val="single" w:color="1154cc"/>
                <w:rFonts w:ascii="Cambria" w:hAnsi="Cambria" w:eastAsia="Cambria"/>
                <w:b w:val="0"/>
                <w:i w:val="0"/>
                <w:color w:val="1155CC"/>
                <w:sz w:val="22"/>
              </w:rPr>
              <w:hyperlink r:id="rId13" w:history="1">
                <w:r>
                  <w:rPr>
                    <w:rStyle w:val="Hyperlink"/>
                  </w:rPr>
                  <w:t>https://ozone.unep.org/system/files/documents/MOP-31-INF-9E.pdf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5" w:lineRule="auto" w:before="110" w:after="0"/>
              <w:ind w:left="140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Unexpected emissions of CFC-11: overview outlining the procedures unde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r the Montreal 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Protocol and Multilateral Fund in response to decision XXX/3 paragraph 6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 </w:t>
            </w:r>
            <w:r>
              <w:br/>
            </w:r>
            <w:r>
              <w:rPr>
                <w:u w:val="single" w:color="1154cc"/>
                <w:rFonts w:ascii="Cambria" w:hAnsi="Cambria" w:eastAsia="Cambria"/>
                <w:b w:val="0"/>
                <w:i w:val="0"/>
                <w:color w:val="1155CC"/>
                <w:sz w:val="22"/>
              </w:rPr>
              <w:t>https://ozone.unep.org/system/files/documents/OEWG-41-3E.pdf</w:t>
            </w:r>
          </w:p>
        </w:tc>
      </w:tr>
    </w:tbl>
    <w:p>
      <w:pPr>
        <w:autoSpaceDN w:val="0"/>
        <w:autoSpaceDE w:val="0"/>
        <w:widowControl/>
        <w:spacing w:line="240" w:lineRule="auto" w:before="312" w:after="0"/>
        <w:ind w:left="0" w:right="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9 </w:t>
      </w:r>
    </w:p>
    <w:p>
      <w:pPr>
        <w:sectPr>
          <w:pgSz w:w="12240" w:h="15840"/>
          <w:pgMar w:top="720" w:right="1330" w:bottom="476" w:left="13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3"/>
        <w:gridCol w:w="4713"/>
      </w:tblGrid>
      <w:tr>
        <w:trPr>
          <w:trHeight w:hRule="exact" w:val="1992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1E1E1E"/>
                <w:sz w:val="22"/>
              </w:rPr>
              <w:t></w:t>
            </w:r>
          </w:p>
          <w:p>
            <w:pPr>
              <w:autoSpaceDN w:val="0"/>
              <w:autoSpaceDE w:val="0"/>
              <w:widowControl/>
              <w:spacing w:line="238" w:lineRule="auto" w:before="61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1E1E1E"/>
                <w:sz w:val="22"/>
              </w:rPr>
              <w:t></w:t>
            </w:r>
          </w:p>
        </w:tc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0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Unexpected emissions of CFC-11: overview outlining the procedures under the Montreal 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hyperlink r:id="rId23" w:history="1">
                <w:r>
                  <w:rPr>
                    <w:rStyle w:val="Hyperlink"/>
                  </w:rPr>
                  <w:t>Protocol and Multilateral Fund in response to dec</w:t>
                </w:r>
              </w:hyperlink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hyperlink r:id="rId23" w:history="1">
                <w:r>
                  <w:rPr>
                    <w:rStyle w:val="Hyperlink"/>
                  </w:rPr>
                  <w:t>i</w:t>
                </w:r>
              </w:hyperlink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sion XXX/3 paragraph 6 – Addendum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 </w:t>
            </w:r>
            <w:r>
              <w:rPr>
                <w:u w:val="single" w:color="1154cc"/>
                <w:rFonts w:ascii="Cambria" w:hAnsi="Cambria" w:eastAsia="Cambria"/>
                <w:b w:val="0"/>
                <w:i w:val="0"/>
                <w:color w:val="1155CC"/>
                <w:sz w:val="22"/>
              </w:rPr>
              <w:hyperlink r:id="rId23" w:history="1">
                <w:r>
                  <w:rPr>
                    <w:rStyle w:val="Hyperlink"/>
                  </w:rPr>
                  <w:t>https://ozone.unep.org/system/files/documents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5" w:lineRule="auto" w:before="114" w:after="0"/>
              <w:ind w:left="14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TEAP September 2019: Decision XXX/3 TEAP Task Force Report on unexpected emissions 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of Trichlorofluoromethane (CFC-11) - Final Report (Volume 1)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FF"/>
                <w:sz w:val="22"/>
                <w:u w:val="single"/>
              </w:rPr>
              <w:t>https://ozone.unep.org/system/files/documents/TEAP-TF-DecXXX-3-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FF"/>
                <w:sz w:val="22"/>
                <w:u w:val="single"/>
              </w:rPr>
              <w:t>unexpected_CFC11_emissions-september2019.pdf</w:t>
            </w:r>
          </w:p>
        </w:tc>
      </w:tr>
    </w:tbl>
    <w:p>
      <w:pPr>
        <w:autoSpaceDN w:val="0"/>
        <w:autoSpaceDE w:val="0"/>
        <w:widowControl/>
        <w:spacing w:line="240" w:lineRule="auto" w:before="142" w:after="176"/>
        <w:ind w:left="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43rd OEWG (Online, 2021)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3"/>
        <w:gridCol w:w="4713"/>
      </w:tblGrid>
      <w:tr>
        <w:trPr>
          <w:trHeight w:hRule="exact" w:val="636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1E1E1E"/>
                <w:sz w:val="22"/>
              </w:rPr>
              <w:t></w:t>
            </w:r>
          </w:p>
        </w:tc>
        <w:tc>
          <w:tcPr>
            <w:tcW w:type="dxa" w:w="8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" w:after="0"/>
              <w:ind w:left="140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TEAP 2021:Decision XXXI/3 TEAP Task Force Report on Unexpected Emissions of 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>Trichlorofluoromethane (CFC-11) (Volume 3)</w:t>
            </w: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50" w:after="52"/>
        <w:ind w:left="720" w:right="864" w:firstLine="0"/>
        <w:jc w:val="left"/>
      </w:pPr>
      <w:r>
        <w:rPr>
          <w:rFonts w:ascii="Cambria" w:hAnsi="Cambria" w:eastAsia="Cambria"/>
          <w:b w:val="0"/>
          <w:i w:val="0"/>
          <w:color w:val="0000FF"/>
          <w:sz w:val="22"/>
          <w:u w:val="single"/>
        </w:rPr>
        <w:hyperlink r:id="rId24" w:history="1">
          <w:r>
            <w:rPr>
              <w:rStyle w:val="Hyperlink"/>
            </w:rPr>
            <w:t>https://ozone.unep.org/system/files/documents/Final_TEAP-DecisionXXXI-3-TF-</w:t>
          </w:r>
        </w:hyperlink>
      </w:r>
      <w:r>
        <w:rPr>
          <w:rFonts w:ascii="Cambria" w:hAnsi="Cambria" w:eastAsia="Cambria"/>
          <w:b w:val="0"/>
          <w:i w:val="0"/>
          <w:color w:val="0000FF"/>
          <w:sz w:val="22"/>
          <w:u w:val="single"/>
        </w:rPr>
        <w:hyperlink r:id="rId24" w:history="1">
          <w:r>
            <w:rPr>
              <w:rStyle w:val="Hyperlink"/>
            </w:rPr>
            <w:t>Unexpected-Emissions-of-CFC-11-may2021.pdf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713"/>
        <w:gridCol w:w="4713"/>
      </w:tblGrid>
      <w:tr>
        <w:trPr>
          <w:trHeight w:hRule="exact" w:val="37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5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1E1E1E"/>
                <w:sz w:val="22"/>
              </w:rPr>
              <w:t>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1E1E1E"/>
                <w:sz w:val="22"/>
              </w:rPr>
              <w:t xml:space="preserve">Scientific Assessment Panel: Report on Unexpected Emissions of CFC-11 (Advance Copy) </w:t>
            </w:r>
          </w:p>
        </w:tc>
      </w:tr>
    </w:tbl>
    <w:p>
      <w:pPr>
        <w:autoSpaceDN w:val="0"/>
        <w:autoSpaceDE w:val="0"/>
        <w:widowControl/>
        <w:spacing w:line="240" w:lineRule="auto" w:before="48" w:after="0"/>
        <w:ind w:left="720" w:right="0" w:firstLine="0"/>
        <w:jc w:val="left"/>
      </w:pPr>
      <w:r>
        <w:rPr>
          <w:u w:val="single" w:color="006fc0"/>
          <w:rFonts w:ascii="Cambria" w:hAnsi="Cambria" w:eastAsia="Cambria"/>
          <w:b w:val="0"/>
          <w:i w:val="0"/>
          <w:color w:val="0070C0"/>
          <w:sz w:val="22"/>
        </w:rPr>
        <w:t>SAP-April-2021-report-on-the-unexpected-emissions-of-CFC-11.pdf</w:t>
      </w:r>
      <w:r>
        <w:rPr>
          <w:rFonts w:ascii="Cambria" w:hAnsi="Cambria" w:eastAsia="Cambria"/>
          <w:b w:val="0"/>
          <w:i w:val="0"/>
          <w:color w:val="0070C0"/>
          <w:sz w:val="22"/>
        </w:rPr>
        <w:t xml:space="preserve"> </w:t>
      </w:r>
    </w:p>
    <w:p>
      <w:pPr>
        <w:autoSpaceDN w:val="0"/>
        <w:autoSpaceDE w:val="0"/>
        <w:widowControl/>
        <w:spacing w:line="240" w:lineRule="auto" w:before="8714" w:after="0"/>
        <w:ind w:left="0" w:right="2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10 </w:t>
      </w:r>
    </w:p>
    <w:p>
      <w:pPr>
        <w:sectPr>
          <w:pgSz w:w="12240" w:h="15840"/>
          <w:pgMar w:top="720" w:right="1374" w:bottom="4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58"/>
      </w:tblGrid>
      <w:tr>
        <w:trPr>
          <w:trHeight w:hRule="exact" w:val="418"/>
        </w:trPr>
        <w:tc>
          <w:tcPr>
            <w:tcW w:type="dxa" w:w="9538"/>
            <w:tcBorders/>
            <w:shd w:fill="4f81b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88" w:right="0" w:firstLine="0"/>
              <w:jc w:val="left"/>
            </w:pPr>
            <w:r>
              <w:rPr>
                <w:rFonts w:ascii="Cambria" w:hAnsi="Cambria" w:eastAsia="Cambria"/>
                <w:b/>
                <w:i w:val="0"/>
                <w:color w:val="FFFFFF"/>
                <w:sz w:val="22"/>
              </w:rPr>
              <w:t xml:space="preserve">ANNEX 2: DECISIONS TAKEN ON UNEXPECTED CFC-11 EMISSIONS </w:t>
            </w:r>
          </w:p>
        </w:tc>
      </w:tr>
    </w:tbl>
    <w:p>
      <w:pPr>
        <w:autoSpaceDN w:val="0"/>
        <w:autoSpaceDE w:val="0"/>
        <w:widowControl/>
        <w:spacing w:line="240" w:lineRule="auto" w:before="200" w:after="0"/>
        <w:ind w:left="8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Decision XXX/3: Unexpected emissions of trichlorofluoromethane (CFC-11) </w:t>
      </w:r>
    </w:p>
    <w:p>
      <w:pPr>
        <w:autoSpaceDN w:val="0"/>
        <w:autoSpaceDE w:val="0"/>
        <w:widowControl/>
        <w:spacing w:line="245" w:lineRule="auto" w:before="280" w:after="0"/>
        <w:ind w:left="88" w:right="144" w:firstLine="0"/>
        <w:jc w:val="left"/>
      </w:pPr>
      <w:r>
        <w:rPr>
          <w:rFonts w:ascii="Calibri" w:hAnsi="Calibri" w:eastAsia="Calibri"/>
          <w:b w:val="0"/>
          <w:i/>
          <w:color w:val="1E1E1E"/>
          <w:sz w:val="22"/>
        </w:rPr>
        <w:t xml:space="preserve">Noting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the recent scientific findings showing that there has been an unexpected increase in global </w:t>
      </w:r>
      <w:r>
        <w:rPr>
          <w:rFonts w:ascii="Calibri" w:hAnsi="Calibri" w:eastAsia="Calibri"/>
          <w:b w:val="0"/>
          <w:i w:val="0"/>
          <w:color w:val="1E1E1E"/>
          <w:sz w:val="22"/>
        </w:rPr>
        <w:t>emissions of trichlorofluoromethane (CFC-11) since 2012, after the consumption and production phase-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out date established under the Montreal Protocol, </w:t>
      </w:r>
    </w:p>
    <w:p>
      <w:pPr>
        <w:autoSpaceDN w:val="0"/>
        <w:autoSpaceDE w:val="0"/>
        <w:widowControl/>
        <w:spacing w:line="197" w:lineRule="auto" w:before="196" w:after="0"/>
        <w:ind w:left="88" w:right="0" w:firstLine="0"/>
        <w:jc w:val="left"/>
      </w:pPr>
      <w:r>
        <w:rPr>
          <w:rFonts w:ascii="Calibri" w:hAnsi="Calibri" w:eastAsia="Calibri"/>
          <w:b w:val="0"/>
          <w:i/>
          <w:color w:val="1E1E1E"/>
          <w:sz w:val="22"/>
        </w:rPr>
        <w:t xml:space="preserve">Appreciating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the efforts of the scientific community in providing that information, </w:t>
      </w:r>
    </w:p>
    <w:p>
      <w:pPr>
        <w:autoSpaceDN w:val="0"/>
        <w:autoSpaceDE w:val="0"/>
        <w:widowControl/>
        <w:spacing w:line="245" w:lineRule="auto" w:before="200" w:after="0"/>
        <w:ind w:left="88" w:right="288" w:firstLine="0"/>
        <w:jc w:val="left"/>
      </w:pPr>
      <w:r>
        <w:rPr>
          <w:rFonts w:ascii="Calibri" w:hAnsi="Calibri" w:eastAsia="Calibri"/>
          <w:b w:val="0"/>
          <w:i/>
          <w:color w:val="1E1E1E"/>
          <w:sz w:val="22"/>
        </w:rPr>
        <w:t xml:space="preserve">Expressing serious concern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about the substantial volume of unexpected emissions of CFC-11 in recent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years, </w:t>
      </w:r>
    </w:p>
    <w:p>
      <w:pPr>
        <w:autoSpaceDN w:val="0"/>
        <w:tabs>
          <w:tab w:pos="808" w:val="left"/>
          <w:tab w:pos="1168" w:val="left"/>
          <w:tab w:pos="1528" w:val="left"/>
        </w:tabs>
        <w:autoSpaceDE w:val="0"/>
        <w:widowControl/>
        <w:spacing w:line="245" w:lineRule="auto" w:before="330" w:after="0"/>
        <w:ind w:left="448" w:right="0" w:firstLine="0"/>
        <w:jc w:val="left"/>
      </w:pPr>
      <w:r>
        <w:rPr>
          <w:rFonts w:ascii="Calibri" w:hAnsi="Calibri" w:eastAsia="Calibri"/>
          <w:b w:val="0"/>
          <w:i w:val="0"/>
          <w:color w:val="1E1E1E"/>
          <w:sz w:val="22"/>
        </w:rPr>
        <w:t>1.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request the Scientific Assessment Panel to provide to the parties a summary report on the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unexpected increase of CFC-11 emissions, which would supplement the information in the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quadrennial assessment, including additional information regarding atmospheric monitoring and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modelling, including underlying assumptions, with respect to such emissions; a preliminary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summary report should be provided to the Open-ended Working Group at its forty-first meeting,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a further update to the Thirty-First Meeting of the Parties and a final report to the Thirty-Second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Meeting of the Parties; </w:t>
      </w:r>
      <w:r>
        <w:br/>
      </w:r>
      <w:r>
        <w:rPr>
          <w:rFonts w:ascii="Calibri" w:hAnsi="Calibri" w:eastAsia="Calibri"/>
          <w:b w:val="0"/>
          <w:i w:val="0"/>
          <w:color w:val="1E1E1E"/>
          <w:sz w:val="22"/>
        </w:rPr>
        <w:t>2.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request the Technology and Economic Assessment Panel to provide the parties with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information on potential sources of emissions of CFC-11 and related controlled substances from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potential production and uses, as well as from banks, that may have resulted in emissions of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CFC-11 in unexpected quantities in the relevant regions; a preliminary report should be provided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the Open-ended Working Group at its forty-first meeting and a final report to the Thirty-First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Meeting of the Parties; </w:t>
      </w:r>
      <w:r>
        <w:br/>
      </w:r>
      <w:r>
        <w:rPr>
          <w:rFonts w:ascii="Calibri" w:hAnsi="Calibri" w:eastAsia="Calibri"/>
          <w:b w:val="0"/>
          <w:i w:val="0"/>
          <w:color w:val="1E1E1E"/>
          <w:sz w:val="22"/>
        </w:rPr>
        <w:t>3.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request parties with any relevant scientific and technical information that may help inform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the Scientific Assessment Panel and Technology and Economic Assessment Panel reports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described in paragraphs 1 and 2 above to provide that information to the Secretariat by 1 March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2019; </w:t>
      </w:r>
      <w:r>
        <w:br/>
      </w:r>
      <w:r>
        <w:rPr>
          <w:rFonts w:ascii="Calibri" w:hAnsi="Calibri" w:eastAsia="Calibri"/>
          <w:b w:val="0"/>
          <w:i w:val="0"/>
          <w:color w:val="1E1E1E"/>
          <w:sz w:val="22"/>
        </w:rPr>
        <w:t>4.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encourage parties, as appropriate and as feasible, to support scientific efforts, including for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atmospheric measurements, to further study the unexpected emissions of CFC-11 in recent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years; </w:t>
      </w:r>
      <w:r>
        <w:br/>
      </w:r>
      <w:r>
        <w:rPr>
          <w:rFonts w:ascii="Calibri" w:hAnsi="Calibri" w:eastAsia="Calibri"/>
          <w:b w:val="0"/>
          <w:i w:val="0"/>
          <w:color w:val="1E1E1E"/>
          <w:sz w:val="22"/>
        </w:rPr>
        <w:t>5.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encourage relevant scientific and atmospheric organizations and institutions to further study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and elaborate the current findings related to CFC-11 emissions as relevant and appropriate to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their mandate, with a view to contributing to the assessment described in paragraph 1 above; </w:t>
      </w:r>
      <w:r>
        <w:rPr>
          <w:rFonts w:ascii="Calibri" w:hAnsi="Calibri" w:eastAsia="Calibri"/>
          <w:b w:val="0"/>
          <w:i w:val="0"/>
          <w:color w:val="1E1E1E"/>
          <w:sz w:val="22"/>
        </w:rPr>
        <w:t>6.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request the Secretariat, in consultation with the secretariat of the Multilateral Fund for the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Implementation of the Montreal Protocol, to provide the parties with an overview outlining the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procedures under the Protocol and the Fund with reference to controlled substances by which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the parties review and ensure continuing compliance with Protocol obligations and with the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terms of agreements under the Fund, including with regard to monitoring, reporting, and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verification, and to provide a report to the Open-ended Working Group at its forty-first meeting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and a final report to the Thirty-First Meeting of the Parties; </w:t>
      </w:r>
      <w:r>
        <w:br/>
      </w:r>
      <w:r>
        <w:rPr>
          <w:rFonts w:ascii="Calibri" w:hAnsi="Calibri" w:eastAsia="Calibri"/>
          <w:b w:val="0"/>
          <w:i w:val="0"/>
          <w:color w:val="1E1E1E"/>
          <w:sz w:val="22"/>
        </w:rPr>
        <w:t>7.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request all parties: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>a.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take appropriate measures to ensure that the phase-out of CFC-11 is effectively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sustained and enforced in accordance with obligations under the Protocol;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>b.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inform the Secretariat about any potential deviations from compliance that could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contribute to the unexpected increase in CFC-11 emissions; </w:t>
      </w:r>
    </w:p>
    <w:p>
      <w:pPr>
        <w:autoSpaceDN w:val="0"/>
        <w:autoSpaceDE w:val="0"/>
        <w:widowControl/>
        <w:spacing w:line="240" w:lineRule="auto" w:before="514" w:after="0"/>
        <w:ind w:left="0" w:right="64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11 </w:t>
      </w:r>
    </w:p>
    <w:p>
      <w:pPr>
        <w:sectPr>
          <w:pgSz w:w="12240" w:h="15840"/>
          <w:pgMar w:top="720" w:right="1330" w:bottom="476" w:left="13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28" w:right="576" w:firstLine="0"/>
        <w:jc w:val="left"/>
      </w:pPr>
      <w:r>
        <w:rPr>
          <w:rFonts w:ascii="Cambria" w:hAnsi="Cambria" w:eastAsia="Cambria"/>
          <w:b/>
          <w:i w:val="0"/>
          <w:color w:val="000000"/>
          <w:sz w:val="22"/>
        </w:rPr>
        <w:t xml:space="preserve">Decision XXXI/3: Unexpected emissions of CFC-11 and institutional processes to be </w:t>
      </w:r>
      <w:r>
        <w:rPr>
          <w:rFonts w:ascii="Cambria" w:hAnsi="Cambria" w:eastAsia="Cambria"/>
          <w:b/>
          <w:i w:val="0"/>
          <w:color w:val="000000"/>
          <w:sz w:val="22"/>
        </w:rPr>
        <w:t xml:space="preserve">enhanced to strengthen the effective implementation and enforcement of the Montreal </w:t>
      </w:r>
      <w:r>
        <w:rPr>
          <w:rFonts w:ascii="Cambria" w:hAnsi="Cambria" w:eastAsia="Cambria"/>
          <w:b/>
          <w:i w:val="0"/>
          <w:color w:val="000000"/>
          <w:sz w:val="22"/>
        </w:rPr>
        <w:t>Protocol</w:t>
      </w:r>
    </w:p>
    <w:p>
      <w:pPr>
        <w:autoSpaceDN w:val="0"/>
        <w:autoSpaceDE w:val="0"/>
        <w:widowControl/>
        <w:spacing w:line="245" w:lineRule="auto" w:before="280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RECALLING decision XXX/3 on unexpected emissions of trichlorofluoromethane (CFC-11), in particular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the mandate therein to the Scientific Assessment Panel to provide additional information in that regard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the parties in 2020, </w:t>
      </w:r>
    </w:p>
    <w:p>
      <w:pPr>
        <w:autoSpaceDN w:val="0"/>
        <w:autoSpaceDE w:val="0"/>
        <w:widowControl/>
        <w:spacing w:line="245" w:lineRule="auto" w:before="198" w:after="0"/>
        <w:ind w:left="28" w:right="144" w:firstLine="0"/>
        <w:jc w:val="left"/>
      </w:pP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RECALLING ALSO decision XIV/7 on monitoring of trade in ozone-depleting substances and preventing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illegal trade in ozone-depleting substances, in paragraph 7 of which parties were requested to report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information on illegal trade to the Ozone Secretariat, </w:t>
      </w:r>
    </w:p>
    <w:p>
      <w:pPr>
        <w:autoSpaceDN w:val="0"/>
        <w:autoSpaceDE w:val="0"/>
        <w:widowControl/>
        <w:spacing w:line="245" w:lineRule="auto" w:before="200" w:after="0"/>
        <w:ind w:left="28" w:right="144" w:firstLine="0"/>
        <w:jc w:val="left"/>
      </w:pP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TAKING INTO ACCOUNT information provided by the Technology and Economic Assessment Panel and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the Scientific Assessment Panel on the emissions of CFC-11 and their likely sources, and that parties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remain concerned about the implications of those emissions for the ozone layer, </w:t>
      </w:r>
    </w:p>
    <w:p>
      <w:pPr>
        <w:autoSpaceDN w:val="0"/>
        <w:autoSpaceDE w:val="0"/>
        <w:widowControl/>
        <w:spacing w:line="245" w:lineRule="auto" w:before="202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TAKING NOTE of the report on the International Symposium on the Unexpected Increase in Emissions of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Ozone-depleting CFC-11, held in March 2019, </w:t>
      </w:r>
    </w:p>
    <w:p>
      <w:pPr>
        <w:autoSpaceDN w:val="0"/>
        <w:autoSpaceDE w:val="0"/>
        <w:widowControl/>
        <w:spacing w:line="245" w:lineRule="auto" w:before="198" w:after="0"/>
        <w:ind w:left="28" w:right="288" w:firstLine="0"/>
        <w:jc w:val="left"/>
      </w:pP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TAKING NOTE ALSO of document UNEP/OzL.Pro/ExCom/83/38 on current monitoring, reporting,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verification and enforceable licensing and quota systems, referred by the Executive Committee of the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Multilateral Fund to the parties for their consideration, </w:t>
      </w:r>
    </w:p>
    <w:p>
      <w:pPr>
        <w:autoSpaceDN w:val="0"/>
        <w:autoSpaceDE w:val="0"/>
        <w:widowControl/>
        <w:spacing w:line="245" w:lineRule="auto" w:before="200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EXPRESSING APPRECIATION for the information that parties have provided to the Technology and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Economic Assessment panel, to the Open-Ended Working Group at its forty-first meeting, and to the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Thirty-First Meeting of the Parties to assist with further analysis of the unexpected emissions of CFC-11,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in particular the information contained in document UNEP/OzL.Pro.31/INF/9, </w:t>
      </w:r>
    </w:p>
    <w:p>
      <w:pPr>
        <w:autoSpaceDN w:val="0"/>
        <w:autoSpaceDE w:val="0"/>
        <w:widowControl/>
        <w:spacing w:line="245" w:lineRule="auto" w:before="200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TAKING NOTE of the document on possible ways of dealing with illegal production of and illegal trade in 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controlled substances under the Montreal Protocol, as set out in annex II to the report of the </w:t>
      </w:r>
      <w:r>
        <w:br/>
      </w:r>
      <w:r>
        <w:rPr>
          <w:rFonts w:ascii="Calibri" w:hAnsi="Calibri" w:eastAsia="Calibri"/>
          <w:b w:val="0"/>
          <w:i w:val="0"/>
          <w:color w:val="1E1E1E"/>
          <w:sz w:val="22"/>
        </w:rPr>
        <w:t>Implementation Committee under the Non-Compliance Procedure for the Montreal Protocol at its sixty-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third meeting, </w:t>
      </w:r>
    </w:p>
    <w:p>
      <w:pPr>
        <w:autoSpaceDN w:val="0"/>
        <w:tabs>
          <w:tab w:pos="748" w:val="left"/>
          <w:tab w:pos="1108" w:val="left"/>
          <w:tab w:pos="1468" w:val="left"/>
        </w:tabs>
        <w:autoSpaceDE w:val="0"/>
        <w:widowControl/>
        <w:spacing w:line="245" w:lineRule="auto" w:before="330" w:after="0"/>
        <w:ind w:left="388" w:right="0" w:firstLine="0"/>
        <w:jc w:val="left"/>
      </w:pPr>
      <w:r>
        <w:rPr>
          <w:rFonts w:ascii="Calibri" w:hAnsi="Calibri" w:eastAsia="Calibri"/>
          <w:b w:val="0"/>
          <w:i w:val="0"/>
          <w:color w:val="1E1E1E"/>
          <w:sz w:val="22"/>
        </w:rPr>
        <w:t>1.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request any party that becomes aware of information on CFC-11 emissions that indicates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that the party has exceeded its maximum-allowed level of production or consumption of CFC-11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submit to the Secretariat without undue delay a description of the specific circumstances that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it considers to be the cause of the unexpected CFC-11 emissions; </w:t>
      </w:r>
      <w:r>
        <w:br/>
      </w:r>
      <w:r>
        <w:rPr>
          <w:rFonts w:ascii="Calibri" w:hAnsi="Calibri" w:eastAsia="Calibri"/>
          <w:b w:val="0"/>
          <w:i w:val="0"/>
          <w:color w:val="1E1E1E"/>
          <w:sz w:val="22"/>
        </w:rPr>
        <w:t>2.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remind parties to update their Article 7 reports if they become aware of new data; </w:t>
      </w:r>
      <w:r>
        <w:br/>
      </w:r>
      <w:r>
        <w:rPr>
          <w:rFonts w:ascii="Calibri" w:hAnsi="Calibri" w:eastAsia="Calibri"/>
          <w:b w:val="0"/>
          <w:i w:val="0"/>
          <w:color w:val="1E1E1E"/>
          <w:sz w:val="22"/>
        </w:rPr>
        <w:t>3.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remind parties, consistent with paragraph 1 of decision XXII/20, to report all production of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controlled substances, whether intended or not intended, to enable the calculation of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production and consumption in accordance with Article 3 of the Protocol; </w:t>
      </w:r>
      <w:r>
        <w:br/>
      </w:r>
      <w:r>
        <w:rPr>
          <w:rFonts w:ascii="Calibri" w:hAnsi="Calibri" w:eastAsia="Calibri"/>
          <w:b w:val="0"/>
          <w:i w:val="0"/>
          <w:color w:val="1E1E1E"/>
          <w:sz w:val="22"/>
        </w:rPr>
        <w:t>4.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encourage parties to take steps to ensure that controlled substances produced for feedstock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are not directed towards non-feedstock purposes or for the illegal production of CFC-11; </w:t>
      </w:r>
      <w:r>
        <w:rPr>
          <w:rFonts w:ascii="Calibri" w:hAnsi="Calibri" w:eastAsia="Calibri"/>
          <w:b w:val="0"/>
          <w:i w:val="0"/>
          <w:color w:val="1E1E1E"/>
          <w:sz w:val="22"/>
        </w:rPr>
        <w:t>5.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encourage all parties to take action to discover and prevent the illegal production, import,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export and consumption of controlled substances by: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>1.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Implementing the Montreal Protocol obligations in a manner that is effective in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discovering and preventing illegal production of controlled substances;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>2.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Considering national prohibitions, as appropriate, on the use of controlled substances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either prior to or after their phase-out; </w:t>
      </w:r>
    </w:p>
    <w:p>
      <w:pPr>
        <w:autoSpaceDN w:val="0"/>
        <w:autoSpaceDE w:val="0"/>
        <w:widowControl/>
        <w:spacing w:line="240" w:lineRule="auto" w:before="742" w:after="0"/>
        <w:ind w:left="0" w:right="2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12 </w:t>
      </w:r>
    </w:p>
    <w:p>
      <w:pPr>
        <w:sectPr>
          <w:pgSz w:w="12240" w:h="15840"/>
          <w:pgMar w:top="720" w:right="1374" w:bottom="476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720" w:val="left"/>
          <w:tab w:pos="1080" w:val="left"/>
          <w:tab w:pos="1440" w:val="left"/>
        </w:tabs>
        <w:autoSpaceDE w:val="0"/>
        <w:widowControl/>
        <w:spacing w:line="245" w:lineRule="auto" w:before="44" w:after="0"/>
        <w:ind w:left="36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>3.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Reporting fully proved cases of illegal trade in controlled substances to the Ozone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Secretariat in order to facilitate an exchange of information;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>4.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Reporting to the Ozone Secretariat on how significant cases of illegal production,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import, export or consumption have been addressed and to their best knowledge what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were the causes, in order to facilitate an exchange of information; </w:t>
      </w:r>
      <w:r>
        <w:br/>
      </w:r>
      <w:r>
        <w:rPr>
          <w:rFonts w:ascii="Calibri" w:hAnsi="Calibri" w:eastAsia="Calibri"/>
          <w:b w:val="0"/>
          <w:i w:val="0"/>
          <w:color w:val="1E1E1E"/>
          <w:sz w:val="22"/>
        </w:rPr>
        <w:t>6.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remind parties to ensure that any imports and exports of controlled substances for feedstock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and exempted uses are included in licensing systems; </w:t>
      </w:r>
      <w:r>
        <w:br/>
      </w:r>
      <w:r>
        <w:rPr>
          <w:rFonts w:ascii="Calibri" w:hAnsi="Calibri" w:eastAsia="Calibri"/>
          <w:b w:val="0"/>
          <w:i w:val="0"/>
          <w:color w:val="1E1E1E"/>
          <w:sz w:val="22"/>
        </w:rPr>
        <w:t>7.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request the Technology and Economic Assessment Panel to provide the parties with an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update to the information provided pursuant to paragraph 2 of decision XXX/3, and to provide a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report thereon to the Thirty-Second Meeting of the Parties, including any new compelling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information that becomes available, as well as providing information on the following: </w:t>
      </w:r>
      <w:r>
        <w:rPr>
          <w:rFonts w:ascii="Calibri" w:hAnsi="Calibri" w:eastAsia="Calibri"/>
          <w:b w:val="0"/>
          <w:i w:val="0"/>
          <w:color w:val="1E1E1E"/>
          <w:sz w:val="22"/>
        </w:rPr>
        <w:t>1.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An analysis of CFC-11 banks by geographic location and by market sector;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>2.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Linkages between the level of production of anhydrous hydrogen fluoride and carbon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tetrachloride and unexpected emissions of CFC-11;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>3.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The types of CFC-11 products, the disposition of any such products, and opportunities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and methods to detect such products and potentially recover the associated CFC-11;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>4.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Identification of possible drivers of illegal production of and trade in CFC-11, such as the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>availability of technically and economically feasible alternatives to CFC-11 and HCFC-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141b and their sustained effectiveness; </w:t>
      </w:r>
      <w:r>
        <w:br/>
      </w:r>
      <w:r>
        <w:rPr>
          <w:rFonts w:ascii="Calibri" w:hAnsi="Calibri" w:eastAsia="Calibri"/>
          <w:b w:val="0"/>
          <w:i w:val="0"/>
          <w:color w:val="1E1E1E"/>
          <w:sz w:val="22"/>
        </w:rPr>
        <w:t>8.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request the Scientific Assessment Panel to work with the Ozone Research Managers at their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meeting in 2020 to identify gaps in the global coverage of atmospheric monitoring of controlled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substances and to provide options on ways to enhance such monitoring, as well as exploring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options for informing the parties of preliminary information indicating unexpected emissions of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controlled substances, for the consideration of the Thirty-Second Meeting of the Parties to the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Montreal Protocol and the Conference of Parties to the Vienna Convention at its twelfth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meeting, in 2020; </w:t>
      </w:r>
      <w:r>
        <w:br/>
      </w:r>
      <w:r>
        <w:rPr>
          <w:rFonts w:ascii="Calibri" w:hAnsi="Calibri" w:eastAsia="Calibri"/>
          <w:b w:val="0"/>
          <w:i w:val="0"/>
          <w:color w:val="1E1E1E"/>
          <w:sz w:val="22"/>
        </w:rPr>
        <w:t>9.</w:t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To invite parties to provide to the Ozone Secretariat, as soon as possible, any available CFC-11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atmospheric monitoring data that are relevant to the unexpected CFC-11 emissions, and to </w:t>
      </w:r>
      <w:r>
        <w:tab/>
      </w:r>
      <w:r>
        <w:rPr>
          <w:rFonts w:ascii="Calibri" w:hAnsi="Calibri" w:eastAsia="Calibri"/>
          <w:b w:val="0"/>
          <w:i w:val="0"/>
          <w:color w:val="1E1E1E"/>
          <w:sz w:val="22"/>
        </w:rPr>
        <w:t xml:space="preserve">request the Secretariat to make that data available to the parties. </w:t>
      </w:r>
    </w:p>
    <w:p>
      <w:pPr>
        <w:autoSpaceDN w:val="0"/>
        <w:autoSpaceDE w:val="0"/>
        <w:widowControl/>
        <w:spacing w:line="240" w:lineRule="auto" w:before="5430" w:after="0"/>
        <w:ind w:left="0" w:right="2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13 </w:t>
      </w:r>
    </w:p>
    <w:sectPr w:rsidR="00FC693F" w:rsidRPr="0006063C" w:rsidSect="00034616">
      <w:pgSz w:w="12240" w:h="15840"/>
      <w:pgMar w:top="720" w:right="1374" w:bottom="476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nature.com/articles/s41586-021-03260-5" TargetMode="External"/><Relationship Id="rId11" Type="http://schemas.openxmlformats.org/officeDocument/2006/relationships/hyperlink" Target="https://eia-global.org/reports/20180709-blowing-it-illegal-production-and-use-of-banned-cfc-11-in-chinas-foam-blowing-industry" TargetMode="External"/><Relationship Id="rId12" Type="http://schemas.openxmlformats.org/officeDocument/2006/relationships/hyperlink" Target="https://eia-global.org/reports/20181102-tip-of-the-iceberg" TargetMode="External"/><Relationship Id="rId13" Type="http://schemas.openxmlformats.org/officeDocument/2006/relationships/hyperlink" Target="https://ozone.unep.org/system/files/documents/MOP-31-INF-9E.pdf" TargetMode="External"/><Relationship Id="rId14" Type="http://schemas.openxmlformats.org/officeDocument/2006/relationships/hyperlink" Target="http://www.mee.gov.cn/xxgk2018/xxgk/xxgk06/202005/t20200521_780130.html" TargetMode="External"/><Relationship Id="rId15" Type="http://schemas.openxmlformats.org/officeDocument/2006/relationships/hyperlink" Target="mailto:info@eia-global.org" TargetMode="External"/><Relationship Id="rId16" Type="http://schemas.openxmlformats.org/officeDocument/2006/relationships/hyperlink" Target="mailto:ukinfo@eia-international.org" TargetMode="External"/><Relationship Id="rId17" Type="http://schemas.openxmlformats.org/officeDocument/2006/relationships/hyperlink" Target="https://ozone.unep.org/system/files/documents/OEWG-40-INF-2-Add-1.pdf" TargetMode="External"/><Relationship Id="rId18" Type="http://schemas.openxmlformats.org/officeDocument/2006/relationships/hyperlink" Target="https://ozone.unep.org/meetings/thirtieth-meeting-parties/pre-session-documents" TargetMode="External"/><Relationship Id="rId19" Type="http://schemas.openxmlformats.org/officeDocument/2006/relationships/hyperlink" Target="https://ozone.unep.org/system/files/documents/OEWG-41-3E.pdf" TargetMode="External"/><Relationship Id="rId20" Type="http://schemas.openxmlformats.org/officeDocument/2006/relationships/hyperlink" Target="https://ozone.unep.org/system/files/documents/OEWG-41-INF-7.pdf" TargetMode="External"/><Relationship Id="rId21" Type="http://schemas.openxmlformats.org/officeDocument/2006/relationships/hyperlink" Target="https://ozone.unep.org/sites/default/files/2020-07/TEAP_Task_Force_Dec_XXX-3_on_Unexpected_CFC-11_Emissions_May_2019.pdf" TargetMode="External"/><Relationship Id="rId22" Type="http://schemas.openxmlformats.org/officeDocument/2006/relationships/hyperlink" Target="https://ozone.unep.org/system/files/documents/MOP-31-6E.pdf" TargetMode="External"/><Relationship Id="rId23" Type="http://schemas.openxmlformats.org/officeDocument/2006/relationships/hyperlink" Target="https://ozone.unep.org/system/files/documents/OEWG-41-3-Add.1E.pdf" TargetMode="External"/><Relationship Id="rId24" Type="http://schemas.openxmlformats.org/officeDocument/2006/relationships/hyperlink" Target="https://ozone.unep.org/system/files/documents/Final_TEAP-DecisionXXXI-3-TF-Unexpected-Emissions-of-CFC-11-may202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