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意外的CFC-11排放</w:t>
      </w:r>
    </w:p>
    <w:p>
      <w:pPr>
        <w:jc w:val="center"/>
      </w:pPr>
      <w:r>
        <w:rPr>
          <w:sz w:val="24"/>
        </w:rPr>
        <w:t>向蒙特利尔议定书不限成员名额工作组第43次会议（OEWG 43）的情况介绍</w:t>
      </w:r>
    </w:p>
    <w:p>
      <w:pPr>
        <w:jc w:val="center"/>
      </w:pPr>
      <w:r>
        <w:rPr>
          <w:sz w:val="22"/>
        </w:rPr>
        <w:t>2021年7月</w:t>
      </w:r>
    </w:p>
    <w:p>
      <w:r>
        <w:br w:type="page"/>
      </w:r>
    </w:p>
    <w:p>
      <w:pPr>
        <w:pStyle w:val="Heading1"/>
        <w:spacing w:before="240" w:after="120"/>
      </w:pPr>
      <w:r>
        <w:t>执行摘要</w:t>
      </w:r>
    </w:p>
    <w:p>
      <w:pPr>
        <w:spacing w:line="440" w:lineRule="exact" w:after="120"/>
        <w:ind w:firstLine="420"/>
      </w:pPr>
      <w:r>
        <w:rPr>
          <w:sz w:val="22"/>
        </w:rPr>
        <w:t>在科学家首次报告意外大规模CFC-11排放近三年之际，本报告审查了目前知识状况，并指出数据和理解方面的关键差距。EIA调查发现，中国聚氨酯（PU）泡沫行业广泛使用CFC-11，85%以上的被调查公司确认在运营中使用CFC-11。迄今为止，中国执法工作的数据与EIA调查结果的规模不符，也未能解释排放规模。然而，中国政府已采取若干全国性和系统性措施来加强监测和执法工作。2021年初发表的两篇《Nature》论文表明，CFC-11排放可能恢复下降轨迹，可能避免臭氧层恢复的实质性延迟。</w:t>
      </w:r>
    </w:p>
    <w:p>
      <w:pPr>
        <w:spacing w:line="440" w:lineRule="exact" w:after="120"/>
        <w:ind w:firstLine="420"/>
      </w:pPr>
      <w:r>
        <w:rPr>
          <w:sz w:val="22"/>
        </w:rPr>
        <w:t>另一方面，新的科学发现表明，未被计算的排放可能比2018年估计的更大；进一步扩大了已核实的CFC-11非法生产和使用、可能相关的CFC-11银行规模等方面的差距。这强调了蒙特利尔议定书及其机构必须继续作出一切努力来弥补数据差距，并加强全球对非法CFC-11生产和使用的驱动因素及其产生的排放的理解。</w:t>
      </w:r>
    </w:p>
    <w:p>
      <w:pPr>
        <w:pStyle w:val="Heading1"/>
        <w:spacing w:before="240" w:after="120"/>
      </w:pPr>
      <w:r>
        <w:t>EIA调查发现</w:t>
      </w:r>
    </w:p>
    <w:p>
      <w:pPr>
        <w:spacing w:line="440" w:lineRule="exact" w:after="120"/>
        <w:ind w:firstLine="420"/>
      </w:pPr>
      <w:r>
        <w:rPr>
          <w:sz w:val="22"/>
        </w:rPr>
        <w:t>在初步发现无法解释的大气CFC-11排放后，EIA于2018年春季调查了中国对这种被禁臭氧消耗物质的使用的调查。EIA发现中国PU泡沫行业广泛使用CFC-11，85%以上的被调查公司确认在运营中使用CFC-11。公司承认CFC-11是主要发泡剂，因为与合法替代品相比性能更好、成本更低。</w:t>
      </w:r>
    </w:p>
    <w:p>
      <w:pPr>
        <w:spacing w:line="440" w:lineRule="exact" w:after="120"/>
        <w:ind w:firstLine="420"/>
      </w:pPr>
      <w:r>
        <w:rPr>
          <w:sz w:val="22"/>
        </w:rPr>
        <w:t>EIA的计算表明，在2012-2017年期间，年均CFC-11排放量将在10307至12165吨之间，接近《Nature》科学研究估计的范围（13±5千吨/年）。</w:t>
      </w:r>
    </w:p>
    <w:p>
      <w:pPr>
        <w:pStyle w:val="Heading1"/>
        <w:spacing w:before="240" w:after="120"/>
      </w:pPr>
      <w:r>
        <w:t>相关科学发现</w:t>
      </w:r>
    </w:p>
    <w:p>
      <w:pPr>
        <w:spacing w:line="440" w:lineRule="exact" w:after="120"/>
        <w:ind w:firstLine="420"/>
      </w:pPr>
      <w:r>
        <w:rPr>
          <w:sz w:val="22"/>
        </w:rPr>
        <w:t>原始《Nature》论文（Montzka等，2018）报告，2012-2016年CFC-11排放增加了25%（±13%），相当于每年排放13±5千吨——与2010年禁令后预期下降的情况相反。</w:t>
      </w:r>
    </w:p>
    <w:p>
      <w:pPr>
        <w:pStyle w:val="ListBullet"/>
        <w:spacing w:after="60"/>
      </w:pPr>
      <w:r>
        <w:rPr>
          <w:sz w:val="22"/>
        </w:rPr>
        <w:t>中国东部大陆排放2014-2017年比2008-2012年每年高7.0±3.0千吨</w:t>
      </w:r>
    </w:p>
    <w:p>
      <w:pPr>
        <w:pStyle w:val="ListBullet"/>
        <w:spacing w:after="60"/>
      </w:pPr>
      <w:r>
        <w:rPr>
          <w:sz w:val="22"/>
        </w:rPr>
        <w:t>中国东部占全球CFC-11排放增长的约40-60%</w:t>
      </w:r>
    </w:p>
    <w:p>
      <w:pPr>
        <w:pStyle w:val="ListBullet"/>
        <w:spacing w:after="60"/>
      </w:pPr>
      <w:r>
        <w:rPr>
          <w:sz w:val="22"/>
        </w:rPr>
        <w:t>增加的CFC-11排放可能来自东亚</w:t>
      </w:r>
    </w:p>
    <w:p>
      <w:pPr>
        <w:pStyle w:val="ListBullet"/>
        <w:spacing w:after="60"/>
      </w:pPr>
      <w:r>
        <w:rPr>
          <w:sz w:val="22"/>
        </w:rPr>
        <w:t>2021年后续论文表明CFC-11排放已恢复下降轨迹</w:t>
      </w:r>
    </w:p>
    <w:p>
      <w:pPr>
        <w:pStyle w:val="Heading1"/>
        <w:spacing w:before="240" w:after="120"/>
      </w:pPr>
      <w:r>
        <w:t>更新的TEAP发现</w:t>
      </w:r>
    </w:p>
    <w:p>
      <w:pPr>
        <w:spacing w:line="440" w:lineRule="exact" w:after="120"/>
        <w:ind w:firstLine="420"/>
      </w:pPr>
      <w:r>
        <w:rPr>
          <w:sz w:val="22"/>
        </w:rPr>
        <w:t>技术与经济评估小组（TEAP）已更新了关于CFC-11情况的发现。</w:t>
      </w:r>
    </w:p>
    <w:p>
      <w:pPr>
        <w:pStyle w:val="ListBullet"/>
        <w:spacing w:after="60"/>
      </w:pPr>
      <w:r>
        <w:rPr>
          <w:sz w:val="22"/>
        </w:rPr>
        <w:t>大气监测数据证实的未被报告的CFC-11排放显著</w:t>
      </w:r>
    </w:p>
    <w:p>
      <w:pPr>
        <w:pStyle w:val="ListBullet"/>
        <w:spacing w:after="60"/>
      </w:pPr>
      <w:r>
        <w:rPr>
          <w:sz w:val="22"/>
        </w:rPr>
        <w:t>主要来源已被确定为中国的聚氨酯泡沫行业</w:t>
      </w:r>
    </w:p>
    <w:p>
      <w:pPr>
        <w:pStyle w:val="ListBullet"/>
        <w:spacing w:after="60"/>
      </w:pPr>
      <w:r>
        <w:rPr>
          <w:sz w:val="22"/>
        </w:rPr>
        <w:t>蒙特利尔议定书下的监测和核查要求可能需要加强</w:t>
      </w:r>
    </w:p>
    <w:p>
      <w:pPr>
        <w:pStyle w:val="Heading1"/>
        <w:spacing w:before="240" w:after="120"/>
      </w:pPr>
      <w:r>
        <w:t>中国国内应对信息</w:t>
      </w:r>
    </w:p>
    <w:p>
      <w:pPr>
        <w:spacing w:line="440" w:lineRule="exact" w:after="120"/>
        <w:ind w:firstLine="420"/>
      </w:pPr>
      <w:r>
        <w:rPr>
          <w:sz w:val="22"/>
        </w:rPr>
        <w:t>在EIA报告和国际关注之后，中国采取了若干执法措施：</w:t>
      </w:r>
    </w:p>
    <w:p>
      <w:pPr>
        <w:pStyle w:val="ListBullet"/>
        <w:spacing w:after="60"/>
      </w:pPr>
      <w:r>
        <w:rPr>
          <w:sz w:val="22"/>
        </w:rPr>
        <w:t>针对非法CFC-11生产和使用的全国执法行动</w:t>
      </w:r>
    </w:p>
    <w:p>
      <w:pPr>
        <w:pStyle w:val="ListBullet"/>
        <w:spacing w:after="60"/>
      </w:pPr>
      <w:r>
        <w:rPr>
          <w:sz w:val="22"/>
        </w:rPr>
        <w:t>至少一家非法CFC-11生产工厂已被关闭</w:t>
      </w:r>
    </w:p>
    <w:p>
      <w:pPr>
        <w:pStyle w:val="ListBullet"/>
        <w:spacing w:after="60"/>
      </w:pPr>
      <w:r>
        <w:rPr>
          <w:sz w:val="22"/>
        </w:rPr>
        <w:t>加强对PU泡沫行业的监测和检查</w:t>
      </w:r>
    </w:p>
    <w:p>
      <w:pPr>
        <w:pStyle w:val="ListBullet"/>
        <w:spacing w:after="60"/>
      </w:pPr>
      <w:r>
        <w:rPr>
          <w:sz w:val="22"/>
        </w:rPr>
        <w:t>关于ODS法规的公众意识宣传活动</w:t>
      </w:r>
    </w:p>
    <w:p>
      <w:pPr>
        <w:pStyle w:val="Heading1"/>
        <w:spacing w:before="240" w:after="120"/>
      </w:pPr>
      <w:r>
        <w:t>需进一步讨论和信息收集的领域</w:t>
      </w:r>
    </w:p>
    <w:p>
      <w:pPr>
        <w:spacing w:line="440" w:lineRule="exact" w:after="120"/>
        <w:ind w:firstLine="420"/>
      </w:pPr>
      <w:r>
        <w:rPr>
          <w:sz w:val="22"/>
        </w:rPr>
        <w:t>几个关键差距仍然存在：</w:t>
      </w:r>
    </w:p>
    <w:p>
      <w:pPr>
        <w:pStyle w:val="ListBullet"/>
        <w:spacing w:after="60"/>
      </w:pPr>
      <w:r>
        <w:rPr>
          <w:sz w:val="22"/>
        </w:rPr>
        <w:t>PU泡沫和其他产品中当前CFC-11银行的规模</w:t>
      </w:r>
    </w:p>
    <w:p>
      <w:pPr>
        <w:pStyle w:val="ListBullet"/>
        <w:spacing w:after="60"/>
      </w:pPr>
      <w:r>
        <w:rPr>
          <w:sz w:val="22"/>
        </w:rPr>
        <w:t>非法生产和使用规模的综合数据</w:t>
      </w:r>
    </w:p>
    <w:p>
      <w:pPr>
        <w:pStyle w:val="ListBullet"/>
        <w:spacing w:after="60"/>
      </w:pPr>
      <w:r>
        <w:rPr>
          <w:sz w:val="22"/>
        </w:rPr>
        <w:t>四氯化碳（CFC）和CFC-12的潜在相关排放</w:t>
      </w:r>
    </w:p>
    <w:p>
      <w:pPr>
        <w:pStyle w:val="ListBullet"/>
        <w:spacing w:after="60"/>
      </w:pPr>
      <w:r>
        <w:rPr>
          <w:sz w:val="22"/>
        </w:rPr>
        <w:t>当前监测和执法制度的有效性</w:t>
      </w:r>
    </w:p>
    <w:p>
      <w:pPr>
        <w:pStyle w:val="ListBullet"/>
        <w:spacing w:after="60"/>
      </w:pPr>
      <w:r>
        <w:rPr>
          <w:sz w:val="22"/>
        </w:rPr>
        <w:t>核实报告的执法行动</w:t>
      </w:r>
    </w:p>
    <w:p>
      <w:pPr>
        <w:spacing w:line="440" w:lineRule="exact" w:after="120"/>
        <w:ind w:firstLine="420"/>
      </w:pPr>
      <w:r>
        <w:rPr>
          <w:sz w:val="22"/>
        </w:rPr>
        <w:t>蒙特利尔议定书必须对其监测和执法制度进行综合审查，以确保其在打击ODS非法贸易和为HFCs新控制措施做准备方面是有效的。</w:t>
      </w:r>
    </w:p>
    <w:p>
      <w:pPr>
        <w:pStyle w:val="Heading1"/>
        <w:spacing w:before="240" w:after="120"/>
      </w:pPr>
      <w:r>
        <w:t>结论</w:t>
      </w:r>
    </w:p>
    <w:p>
      <w:pPr>
        <w:spacing w:line="440" w:lineRule="exact" w:after="120"/>
        <w:ind w:firstLine="420"/>
      </w:pPr>
      <w:r>
        <w:rPr>
          <w:sz w:val="22"/>
        </w:rPr>
        <w:t>CFC-11危机既展示了蒙特利尔议定书的优势，也暴露了其局限性。虽然大气监测系统成功检测到了违规行为，但当前的执法机制不足以防止其发生。缔约方必须加强核查要求，并确保有效的情报驱动执法，以防止今后发生类似情况。</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