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臭氧消耗物质CFC-11的全球排放量异常且持续增长</w:t>
      </w:r>
    </w:p>
    <w:p/>
    <w:p>
      <w:pPr>
        <w:jc w:val="center"/>
      </w:pPr>
      <w:r>
        <w:rPr>
          <w:sz w:val="18"/>
        </w:rPr>
        <w:t>S.A. Montzka, G. Dutton, P. Yu, E. Ray, R. Portmann, J. Daniel, L. Kuijpers, B.D. Hall, D. Mondeel, C. Siso, J.D. Nance, M. Rigby, A.J. Manning, L. Hu, F. Moore, B.R. Miller, J.W. Elkins</w:t>
      </w:r>
    </w:p>
    <w:p>
      <w:pPr>
        <w:jc w:val="center"/>
      </w:pPr>
      <w:r>
        <w:rPr>
          <w:sz w:val="18"/>
        </w:rPr>
        <w:t>NOAA全球监测司/ESRL | CIRES，科罗拉多大学 | 布里斯托尔大学化学系 | 英国气象局</w:t>
      </w:r>
    </w:p>
    <w:p>
      <w:pPr>
        <w:jc w:val="center"/>
      </w:pPr>
      <w:r>
        <w:rPr>
          <w:sz w:val="20"/>
        </w:rPr>
        <w:t>来源：NOAA全球监测司，2018年5月发表于《Nature》</w:t>
      </w:r>
    </w:p>
    <w:p>
      <w:r>
        <w:br w:type="page"/>
      </w:r>
    </w:p>
    <w:p>
      <w:pPr>
        <w:spacing w:before="360" w:after="160"/>
      </w:pPr>
      <w:r>
        <w:rPr>
          <w:b/>
          <w:sz w:val="28"/>
        </w:rPr>
        <w:t>幻灯片1：NOAA/GMD全球臭氧消耗气体浓度监测</w:t>
      </w:r>
    </w:p>
    <w:p>
      <w:pPr>
        <w:spacing w:line="440" w:lineRule="exact" w:after="120"/>
        <w:ind w:firstLine="420"/>
      </w:pPr>
      <w:r>
        <w:rPr>
          <w:sz w:val="22"/>
        </w:rPr>
        <w:t>NOAA全球监测司在全球设有多个监测站，每日或每两周采集大气样本，合作伙伴包括：</w:t>
      </w:r>
    </w:p>
    <w:p>
      <w:pPr>
        <w:pStyle w:val="ListBullet"/>
        <w:spacing w:after="60"/>
      </w:pPr>
      <w:r>
        <w:rPr>
          <w:sz w:val="22"/>
        </w:rPr>
        <w:t>加拿大（AES）</w:t>
      </w:r>
    </w:p>
    <w:p>
      <w:pPr>
        <w:pStyle w:val="ListBullet"/>
        <w:spacing w:after="60"/>
      </w:pPr>
      <w:r>
        <w:rPr>
          <w:sz w:val="22"/>
        </w:rPr>
        <w:t>美国（哈佛大学、斯克里普斯、威斯康星大学）</w:t>
      </w:r>
    </w:p>
    <w:p>
      <w:pPr>
        <w:pStyle w:val="ListBullet"/>
        <w:spacing w:after="60"/>
      </w:pPr>
      <w:r>
        <w:rPr>
          <w:sz w:val="22"/>
        </w:rPr>
        <w:t>澳大利亚（CSIRO）</w:t>
      </w:r>
    </w:p>
    <w:p>
      <w:pPr>
        <w:pStyle w:val="ListBullet"/>
        <w:spacing w:after="60"/>
      </w:pPr>
      <w:r>
        <w:rPr>
          <w:sz w:val="22"/>
        </w:rPr>
        <w:t>英国布里斯托尔大学</w:t>
      </w:r>
    </w:p>
    <w:p>
      <w:pPr>
        <w:pStyle w:val="ListBullet"/>
        <w:spacing w:after="60"/>
      </w:pPr>
      <w:r>
        <w:rPr>
          <w:sz w:val="22"/>
        </w:rPr>
        <w:t>以色列魏茨曼研究所</w:t>
      </w:r>
    </w:p>
    <w:p>
      <w:pPr>
        <w:pStyle w:val="ListBullet"/>
        <w:spacing w:after="60"/>
      </w:pPr>
      <w:r>
        <w:rPr>
          <w:sz w:val="22"/>
        </w:rPr>
        <w:t>爱尔兰</w:t>
      </w:r>
    </w:p>
    <w:p>
      <w:pPr>
        <w:pStyle w:val="ListBullet"/>
        <w:spacing w:after="60"/>
      </w:pPr>
      <w:r>
        <w:rPr>
          <w:sz w:val="22"/>
        </w:rPr>
        <w:t>英国气象局</w:t>
      </w:r>
    </w:p>
    <w:p>
      <w:pPr>
        <w:spacing w:before="360" w:after="160"/>
      </w:pPr>
      <w:r>
        <w:rPr>
          <w:b/>
          <w:sz w:val="28"/>
        </w:rPr>
        <w:t>幻灯片2：大气CFC-11 — 关键事实</w:t>
      </w:r>
    </w:p>
    <w:p>
      <w:pPr>
        <w:spacing w:line="440" w:lineRule="exact" w:after="120"/>
        <w:ind w:firstLine="420"/>
      </w:pPr>
      <w:r>
        <w:rPr>
          <w:sz w:val="22"/>
        </w:rPr>
        <w:t>CFC-11曾是导致大气氯总量下降的最大贡献者（2007-2012年）。目前仍占臭氧消耗氯的20-25%。2007年后报告的全球产量可忽略不计。</w:t>
      </w:r>
    </w:p>
    <w:p>
      <w:pPr>
        <w:spacing w:line="440" w:lineRule="exact" w:after="120"/>
        <w:ind w:firstLine="420"/>
      </w:pPr>
      <w:r>
        <w:rPr>
          <w:sz w:val="22"/>
        </w:rPr>
        <w:t>但问题在于：</w:t>
      </w:r>
    </w:p>
    <w:p>
      <w:pPr>
        <w:pStyle w:val="ListBullet"/>
        <w:spacing w:after="60"/>
      </w:pPr>
      <w:r>
        <w:rPr>
          <w:sz w:val="22"/>
        </w:rPr>
        <w:t>重大排放仍然存在，来自旧泡沫中的CFC-11（即"库存"）</w:t>
      </w:r>
    </w:p>
    <w:p>
      <w:pPr>
        <w:pStyle w:val="ListBullet"/>
        <w:spacing w:after="60"/>
      </w:pPr>
      <w:r>
        <w:rPr>
          <w:sz w:val="22"/>
        </w:rPr>
        <w:t>预期：排放应下降，且浓度下降速度应加快（直到达到受寿命限制的-2%/年）</w:t>
      </w:r>
    </w:p>
    <w:p>
      <w:pPr>
        <w:pStyle w:val="ListBullet"/>
        <w:spacing w:after="60"/>
      </w:pPr>
      <w:r>
        <w:rPr>
          <w:sz w:val="22"/>
        </w:rPr>
        <w:t>实际上：2012年后排放反常增加</w:t>
      </w:r>
    </w:p>
    <w:p>
      <w:pPr>
        <w:spacing w:before="360" w:after="160"/>
      </w:pPr>
      <w:r>
        <w:rPr>
          <w:b/>
          <w:sz w:val="28"/>
        </w:rPr>
        <w:t>幻灯片3：大气CFC-11 — 新发现</w:t>
      </w:r>
    </w:p>
    <w:p>
      <w:pPr>
        <w:spacing w:line="440" w:lineRule="exact" w:after="120"/>
        <w:ind w:firstLine="420"/>
      </w:pPr>
      <w:r>
        <w:rPr>
          <w:sz w:val="22"/>
        </w:rPr>
        <w:t>新发现：</w:t>
      </w:r>
    </w:p>
    <w:p>
      <w:pPr>
        <w:pStyle w:val="ListBullet"/>
        <w:spacing w:after="60"/>
      </w:pPr>
      <w:r>
        <w:rPr>
          <w:sz w:val="22"/>
        </w:rPr>
        <w:t>半球浓度差异（北-南）暗示北美CFC-11排放增加</w:t>
      </w:r>
    </w:p>
    <w:p>
      <w:pPr>
        <w:pStyle w:val="ListBullet"/>
        <w:spacing w:after="60"/>
      </w:pPr>
      <w:r>
        <w:rPr>
          <w:sz w:val="22"/>
        </w:rPr>
        <w:t>全球CFC-11浓度变化率在2012年后偏离预期</w:t>
      </w:r>
    </w:p>
    <w:p>
      <w:pPr>
        <w:pStyle w:val="ListBullet"/>
        <w:spacing w:after="60"/>
      </w:pPr>
      <w:r>
        <w:rPr>
          <w:sz w:val="22"/>
        </w:rPr>
        <w:t>南北浓度差异的扩大与CFC-11排放增加相符</w:t>
      </w:r>
    </w:p>
    <w:p>
      <w:pPr>
        <w:spacing w:before="360" w:after="160"/>
      </w:pPr>
      <w:r>
        <w:rPr>
          <w:b/>
          <w:sz w:val="28"/>
        </w:rPr>
        <w:t>幻灯片4：CFC-11排放似乎在增加</w:t>
      </w:r>
    </w:p>
    <w:p>
      <w:pPr>
        <w:spacing w:line="440" w:lineRule="exact" w:after="120"/>
        <w:ind w:firstLine="420"/>
      </w:pPr>
      <w:r>
        <w:rPr>
          <w:sz w:val="22"/>
        </w:rPr>
        <w:t>基于三维盒模型（3-box model）推导：</w:t>
      </w:r>
    </w:p>
    <w:p>
      <w:pPr>
        <w:pStyle w:val="ListBullet"/>
        <w:spacing w:after="60"/>
      </w:pPr>
      <w:r>
        <w:rPr>
          <w:sz w:val="22"/>
        </w:rPr>
        <w:t>排放/生产（Gg/年）= d[CFC-11]/dt + 损失</w:t>
      </w:r>
    </w:p>
    <w:p>
      <w:pPr>
        <w:pStyle w:val="ListBullet"/>
        <w:spacing w:after="60"/>
      </w:pPr>
      <w:r>
        <w:rPr>
          <w:sz w:val="22"/>
        </w:rPr>
        <w:t>2012-2016年间排放增加了25(±13)%，相当于13±5 Gg/年</w:t>
      </w:r>
    </w:p>
    <w:p>
      <w:pPr>
        <w:spacing w:line="440" w:lineRule="exact" w:after="120"/>
        <w:ind w:firstLine="420"/>
      </w:pPr>
      <w:r>
        <w:rPr>
          <w:sz w:val="22"/>
        </w:rPr>
        <w:t>验证这一排放记录的方法：</w:t>
      </w:r>
    </w:p>
    <w:p>
      <w:pPr>
        <w:pStyle w:val="ListBullet"/>
        <w:spacing w:after="60"/>
      </w:pPr>
      <w:r>
        <w:rPr>
          <w:sz w:val="22"/>
        </w:rPr>
        <w:t>将排放数据纳入三维化学传输模型（3-D CCM），使用再分析气象数据（MERRAMERRA2/GEOS5）</w:t>
      </w:r>
    </w:p>
    <w:p>
      <w:pPr>
        <w:pStyle w:val="ListBullet"/>
        <w:spacing w:after="60"/>
      </w:pPr>
      <w:r>
        <w:rPr>
          <w:sz w:val="22"/>
        </w:rPr>
        <w:t>比较CCM模拟与实测趋势</w:t>
      </w:r>
    </w:p>
    <w:p>
      <w:pPr>
        <w:pStyle w:val="ListBullet"/>
        <w:spacing w:after="60"/>
      </w:pPr>
      <w:r>
        <w:rPr>
          <w:sz w:val="22"/>
        </w:rPr>
        <w:t>差异可能暗示动力学变化或排放估算有误</w:t>
      </w:r>
    </w:p>
    <w:p>
      <w:pPr>
        <w:spacing w:before="360" w:after="160"/>
      </w:pPr>
      <w:r>
        <w:rPr>
          <w:b/>
          <w:sz w:val="28"/>
        </w:rPr>
        <w:t>幻灯片5：三维CFC-11全球浓度下降建模</w:t>
      </w:r>
    </w:p>
    <w:p>
      <w:pPr>
        <w:spacing w:line="440" w:lineRule="exact" w:after="120"/>
        <w:ind w:firstLine="420"/>
      </w:pPr>
      <w:r>
        <w:rPr>
          <w:sz w:val="22"/>
        </w:rPr>
        <w:t>使用WACCM或CAM模型，再分析气象数据（MERRA, MERRA2, GEOS5）</w:t>
      </w:r>
    </w:p>
    <w:p>
      <w:pPr>
        <w:spacing w:line="440" w:lineRule="exact" w:after="120"/>
        <w:ind w:firstLine="420"/>
      </w:pPr>
      <w:r>
        <w:rPr>
          <w:sz w:val="22"/>
        </w:rPr>
        <w:t>结论：</w:t>
      </w:r>
    </w:p>
    <w:p>
      <w:pPr>
        <w:pStyle w:val="ListBullet"/>
        <w:spacing w:after="60"/>
      </w:pPr>
      <w:r>
        <w:rPr>
          <w:sz w:val="22"/>
        </w:rPr>
        <w:t>仅用固定动力学（2012年后）无法重现观测到的浓度下降速率</w:t>
      </w:r>
    </w:p>
    <w:p>
      <w:pPr>
        <w:pStyle w:val="ListBullet"/>
        <w:spacing w:after="60"/>
      </w:pPr>
      <w:r>
        <w:rPr>
          <w:sz w:val="22"/>
        </w:rPr>
        <w:t>3D CCM模型中若保持2012年后排放恒定，预测的下降速度比观测更快</w:t>
      </w:r>
    </w:p>
    <w:p>
      <w:pPr>
        <w:pStyle w:val="ListBullet"/>
        <w:spacing w:after="60"/>
      </w:pPr>
      <w:r>
        <w:rPr>
          <w:sz w:val="22"/>
        </w:rPr>
        <w:t>只有加入CFC-11排放增加才能重现观测数据</w:t>
      </w:r>
    </w:p>
    <w:p>
      <w:pPr>
        <w:pStyle w:val="ListBullet"/>
        <w:spacing w:after="60"/>
      </w:pPr>
      <w:r>
        <w:rPr>
          <w:sz w:val="22"/>
        </w:rPr>
        <w:t>存在与动力学变化相关的影响（详见后续Yu Pengfei的报告）</w:t>
      </w:r>
    </w:p>
    <w:p>
      <w:pPr>
        <w:spacing w:before="360" w:after="160"/>
      </w:pPr>
      <w:r>
        <w:rPr>
          <w:b/>
          <w:sz w:val="28"/>
        </w:rPr>
        <w:t>幻灯片6：MLO观测站直接证据（夏威夷冒纳罗亚山）</w:t>
      </w:r>
    </w:p>
    <w:p>
      <w:pPr>
        <w:spacing w:line="440" w:lineRule="exact" w:after="120"/>
        <w:ind w:firstLine="420"/>
      </w:pPr>
      <w:r>
        <w:rPr>
          <w:sz w:val="22"/>
        </w:rPr>
        <w:t>关键发现：</w:t>
      </w:r>
    </w:p>
    <w:p>
      <w:pPr>
        <w:pStyle w:val="ListBullet"/>
        <w:spacing w:after="60"/>
      </w:pPr>
      <w:r>
        <w:rPr>
          <w:sz w:val="22"/>
        </w:rPr>
        <w:t>到达夏威夷的秋季空气受欧亚大陆排放影响显著</w:t>
      </w:r>
    </w:p>
    <w:p>
      <w:pPr>
        <w:pStyle w:val="ListBullet"/>
        <w:spacing w:after="60"/>
      </w:pPr>
      <w:r>
        <w:rPr>
          <w:sz w:val="22"/>
        </w:rPr>
        <w:t>带来已知从欧亚大陆排放的化学物质浓度升高：如HCFC-22、CH2Cl2、CO</w:t>
      </w:r>
    </w:p>
    <w:p>
      <w:pPr>
        <w:spacing w:line="440" w:lineRule="exact" w:after="120"/>
        <w:ind w:firstLine="420"/>
      </w:pPr>
      <w:r>
        <w:rPr>
          <w:sz w:val="22"/>
        </w:rPr>
        <w:t>数据显示：</w:t>
      </w:r>
    </w:p>
    <w:p>
      <w:pPr>
        <w:pStyle w:val="ListBullet"/>
        <w:spacing w:after="60"/>
      </w:pPr>
      <w:r>
        <w:rPr>
          <w:sz w:val="22"/>
        </w:rPr>
        <w:t>CFC-11与HCFC-22在2012年后相关性发生显著变化</w:t>
      </w:r>
    </w:p>
    <w:p>
      <w:pPr>
        <w:pStyle w:val="ListBullet"/>
        <w:spacing w:after="60"/>
      </w:pPr>
      <w:r>
        <w:rPr>
          <w:sz w:val="22"/>
        </w:rPr>
        <w:t>仅在2012年后，东亚空气才携带升高的CFC-11浓度</w:t>
      </w:r>
    </w:p>
    <w:p>
      <w:pPr>
        <w:pStyle w:val="ListBullet"/>
        <w:spacing w:after="60"/>
      </w:pPr>
      <w:r>
        <w:rPr>
          <w:sz w:val="22"/>
        </w:rPr>
        <w:t>HCFC-22、CH2Cl2和CO的相关性在所有年份都很强</w:t>
      </w:r>
    </w:p>
    <w:p>
      <w:pPr>
        <w:pStyle w:val="ListBullet"/>
        <w:spacing w:after="60"/>
      </w:pPr>
      <w:r>
        <w:rPr>
          <w:sz w:val="22"/>
        </w:rPr>
        <w:t>2012年后，CFC-11与HCFC-22的回归系数发生明显偏移，表明排放源发生了变化</w:t>
      </w:r>
    </w:p>
    <w:p>
      <w:pPr>
        <w:spacing w:before="360" w:after="160"/>
      </w:pPr>
      <w:r>
        <w:rPr>
          <w:b/>
          <w:sz w:val="28"/>
        </w:rPr>
        <w:t>幻灯片7：隐含的年度释放量</w:t>
      </w:r>
    </w:p>
    <w:p>
      <w:pPr>
        <w:spacing w:line="440" w:lineRule="exact" w:after="120"/>
        <w:ind w:firstLine="420"/>
      </w:pPr>
      <w:r>
        <w:rPr>
          <w:sz w:val="22"/>
        </w:rPr>
        <w:t>核心问题：蒙特利尔议定书是否被违反？</w:t>
      </w:r>
    </w:p>
    <w:p>
      <w:pPr>
        <w:pStyle w:val="ListBullet"/>
        <w:spacing w:after="60"/>
      </w:pPr>
      <w:r>
        <w:rPr>
          <w:sz w:val="22"/>
        </w:rPr>
        <w:t>蒙特利尔议定书控制的是生产和消费</w:t>
      </w:r>
    </w:p>
    <w:p>
      <w:pPr>
        <w:pStyle w:val="ListBullet"/>
        <w:spacing w:after="60"/>
      </w:pPr>
      <w:r>
        <w:rPr>
          <w:sz w:val="22"/>
        </w:rPr>
        <w:t>"增加"的排放是否来自"新"生产？</w:t>
      </w:r>
    </w:p>
    <w:p>
      <w:pPr>
        <w:spacing w:line="440" w:lineRule="exact" w:after="120"/>
        <w:ind w:firstLine="420"/>
      </w:pPr>
      <w:r>
        <w:rPr>
          <w:sz w:val="22"/>
        </w:rPr>
        <w:t>或者：CFC-11从"库存"中释放 rate的变化是否可解释排放增加？</w:t>
      </w:r>
    </w:p>
    <w:p>
      <w:pPr>
        <w:pStyle w:val="ListBullet"/>
        <w:spacing w:after="60"/>
      </w:pPr>
      <w:r>
        <w:rPr>
          <w:sz w:val="22"/>
        </w:rPr>
        <w:t>若无新生产，"库存"释放率必须翻倍……这似乎极不可能</w:t>
      </w:r>
    </w:p>
    <w:p>
      <w:pPr>
        <w:spacing w:line="440" w:lineRule="exact" w:after="120"/>
        <w:ind w:firstLine="420"/>
      </w:pPr>
      <w:r>
        <w:rPr>
          <w:sz w:val="22"/>
        </w:rPr>
        <w:t>结论：数据表明存在新生产，这与蒙特利尔议定书商定的全球逐步淘汰承诺不符。</w:t>
      </w:r>
    </w:p>
    <w:p>
      <w:pPr>
        <w:spacing w:before="360" w:after="160"/>
      </w:pPr>
      <w:r>
        <w:rPr>
          <w:b/>
          <w:sz w:val="28"/>
        </w:rPr>
        <w:t>幻灯片8：结论</w:t>
      </w:r>
    </w:p>
    <w:p>
      <w:pPr>
        <w:spacing w:line="440" w:lineRule="exact" w:after="120"/>
        <w:ind w:firstLine="420"/>
      </w:pPr>
      <w:r>
        <w:rPr>
          <w:sz w:val="22"/>
        </w:rPr>
        <w:t>基于大气测量分析的主要结论：</w:t>
      </w:r>
    </w:p>
    <w:p>
      <w:pPr>
        <w:pStyle w:val="Heading2"/>
        <w:spacing w:before="240" w:after="120"/>
      </w:pPr>
      <w:r>
        <w:t>结论1</w:t>
      </w:r>
    </w:p>
    <w:p>
      <w:pPr>
        <w:spacing w:line="440" w:lineRule="exact" w:after="120"/>
        <w:ind w:firstLine="420"/>
      </w:pPr>
      <w:r>
        <w:rPr>
          <w:sz w:val="22"/>
        </w:rPr>
        <w:t>一种一类臭氧消耗物质CFC-11的排放在近年来有所增加，尽管全球已禁止其生产。</w:t>
      </w:r>
    </w:p>
    <w:p>
      <w:pPr>
        <w:pStyle w:val="ListBullet"/>
        <w:spacing w:after="60"/>
      </w:pPr>
      <w:r>
        <w:rPr>
          <w:sz w:val="22"/>
        </w:rPr>
        <w:t>今天的排放量与20年前相似</w:t>
      </w:r>
    </w:p>
    <w:p>
      <w:pPr>
        <w:pStyle w:val="ListBullet"/>
        <w:spacing w:after="60"/>
      </w:pPr>
      <w:r>
        <w:rPr>
          <w:sz w:val="22"/>
        </w:rPr>
        <w:t>其他气体的下降速度并未同样放缓</w:t>
      </w:r>
    </w:p>
    <w:p>
      <w:pPr>
        <w:pStyle w:val="Heading2"/>
        <w:spacing w:before="240" w:after="120"/>
      </w:pPr>
      <w:r>
        <w:t>结论2</w:t>
      </w:r>
    </w:p>
    <w:p>
      <w:pPr>
        <w:spacing w:line="440" w:lineRule="exact" w:after="120"/>
        <w:ind w:firstLine="420"/>
      </w:pPr>
      <w:r>
        <w:rPr>
          <w:sz w:val="22"/>
        </w:rPr>
        <w:t>增加的CFC-11排放可能来自东亚。</w:t>
      </w:r>
    </w:p>
    <w:p>
      <w:pPr>
        <w:pStyle w:val="ListBullet"/>
        <w:spacing w:after="60"/>
      </w:pPr>
      <w:r>
        <w:rPr>
          <w:sz w:val="22"/>
        </w:rPr>
        <w:t>确切位置或国家尚未最终确定</w:t>
      </w:r>
    </w:p>
    <w:p>
      <w:pPr>
        <w:pStyle w:val="Heading2"/>
        <w:spacing w:before="240" w:after="120"/>
      </w:pPr>
      <w:r>
        <w:t>结论3</w:t>
      </w:r>
    </w:p>
    <w:p>
      <w:pPr>
        <w:spacing w:line="440" w:lineRule="exact" w:after="120"/>
        <w:ind w:firstLine="420"/>
      </w:pPr>
      <w:r>
        <w:rPr>
          <w:sz w:val="22"/>
        </w:rPr>
        <w:t>结果表明存在新生产，这与蒙特利尔议定书商定的全球逐步淘汰承诺不符。</w:t>
      </w:r>
    </w:p>
    <w:p>
      <w:pPr>
        <w:pStyle w:val="Heading2"/>
        <w:spacing w:before="240" w:after="120"/>
      </w:pPr>
      <w:r>
        <w:t>结论4</w:t>
      </w:r>
    </w:p>
    <w:p>
      <w:pPr>
        <w:spacing w:line="440" w:lineRule="exact" w:after="120"/>
        <w:ind w:firstLine="420"/>
      </w:pPr>
      <w:r>
        <w:rPr>
          <w:sz w:val="22"/>
        </w:rPr>
        <w:t>检测和诊断大气成分变化需要：</w:t>
      </w:r>
    </w:p>
    <w:p>
      <w:pPr>
        <w:pStyle w:val="ListBullet"/>
        <w:spacing w:after="60"/>
      </w:pPr>
      <w:r>
        <w:rPr>
          <w:sz w:val="22"/>
        </w:rPr>
        <w:t>广泛的高质量测量网络</w:t>
      </w:r>
    </w:p>
    <w:p>
      <w:pPr>
        <w:pStyle w:val="ListBullet"/>
        <w:spacing w:after="60"/>
      </w:pPr>
      <w:r>
        <w:rPr>
          <w:sz w:val="22"/>
        </w:rPr>
        <w:t>精确和先进的建模工具</w:t>
      </w:r>
    </w:p>
    <w:p>
      <w:pPr>
        <w:spacing w:line="440" w:lineRule="exact" w:after="120"/>
        <w:ind w:firstLine="420"/>
      </w:pPr>
      <w:r>
        <w:rPr>
          <w:sz w:val="22"/>
        </w:rPr>
        <w:t>NOAA幸运地同时拥有这两者。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