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Arial" w:cs="Arial" w:eastAsia="Arial" w:hAnsi="Arial"/>
          <w:b/>
          <w:bCs/>
          <w:color w:val="0A0E1A"/>
          <w:sz w:val="52"/>
          <w:szCs w:val="52"/>
        </w:rPr>
        <w:t xml:space="preserve">Threat Intel Hub</w:t>
      </w:r>
    </w:p>
    <w:p>
      <w:pPr>
        <w:spacing w:after="60"/>
        <w:jc w:val="left"/>
      </w:pPr>
      <w:r>
        <w:rPr>
          <w:rFonts w:ascii="Arial" w:cs="Arial" w:eastAsia="Arial" w:hAnsi="Arial"/>
          <w:color w:val="64748B"/>
          <w:sz w:val="28"/>
          <w:szCs w:val="28"/>
        </w:rPr>
        <w:t xml:space="preserve">Technical Architecture Specification</w:t>
      </w:r>
    </w:p>
    <w:p>
      <w:pPr>
        <w:pBdr>
          <w:bottom w:val="single" w:color="00D4AA" w:sz="6" w:space="1"/>
        </w:pBdr>
        <w:spacing w:after="400"/>
      </w:pPr>
    </w:p>
    <w:p>
      <w:pPr>
        <w:spacing w:after="80"/>
      </w:pPr>
      <w:r>
        <w:rPr>
          <w:rFonts w:ascii="Arial" w:cs="Arial" w:eastAsia="Arial" w:hAnsi="Arial"/>
          <w:color w:val="64748B"/>
          <w:sz w:val="22"/>
          <w:szCs w:val="22"/>
        </w:rPr>
        <w:t xml:space="preserve">Version 1.0  |  March 2026  |  Greenfield Build</w:t>
      </w:r>
    </w:p>
    <w:p>
      <w:pPr>
        <w:spacing w:after="80"/>
      </w:pPr>
      <w:r>
        <w:rPr>
          <w:rFonts w:ascii="Arial" w:cs="Arial" w:eastAsia="Arial" w:hAnsi="Arial"/>
          <w:color w:val="64748B"/>
          <w:sz w:val="22"/>
          <w:szCs w:val="22"/>
        </w:rPr>
        <w:t xml:space="preserve">Classification: Internal / Confidential</w:t>
      </w:r>
    </w:p>
    <w:p>
      <w:pPr>
        <w:spacing w:after="80"/>
      </w:pPr>
      <w:r>
        <w:rPr>
          <w:rFonts w:ascii="Arial" w:cs="Arial" w:eastAsia="Arial" w:hAnsi="Arial"/>
          <w:color w:val="64748B"/>
          <w:sz w:val="22"/>
          <w:szCs w:val="22"/>
        </w:rPr>
        <w:t xml:space="preserve">Status: Draft — Architecture Review</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line="300"/>
      </w:pPr>
      <w:r>
        <w:rPr>
          <w:rFonts w:ascii="Arial" w:cs="Arial" w:eastAsia="Arial" w:hAnsi="Arial"/>
          <w:color w:val="334155"/>
          <w:sz w:val="22"/>
          <w:szCs w:val="22"/>
        </w:rPr>
        <w:t xml:space="preserve">The Threat Intel Hub is a greenfield platform that aggregates, enriches, correlates, and delivers cyber threat intelligence in real-time. It serves four primary audiences: internal SOC analysts, executive/CISO-level leadership, external MSSP clients, and automated SOAR playbooks.</w:t>
      </w:r>
    </w:p>
    <w:p>
      <w:pPr>
        <w:spacing w:after="160" w:line="300"/>
      </w:pPr>
      <w:r>
        <w:rPr>
          <w:rFonts w:ascii="Arial" w:cs="Arial" w:eastAsia="Arial" w:hAnsi="Arial"/>
          <w:color w:val="334155"/>
          <w:sz w:val="22"/>
          <w:szCs w:val="22"/>
        </w:rPr>
        <w:t xml:space="preserve">The platform ingests data from RSS feeds, MITRE ATT&amp;CK/D3FEND frameworks, Abuse.ch datasets, STIX/TAXII servers, and additional CTI sources. A RAG-powered AI engine generates audience-specific summaries (executive vs. technical), while an interactive graph visualization provides drill-down attack tree exploration.</w:t>
      </w:r>
    </w:p>
    <w:p>
      <w:pPr>
        <w:spacing w:after="200"/>
      </w:pPr>
    </w:p>
    <w:p>
      <w:pPr>
        <w:pStyle w:val="Heading1"/>
      </w:pPr>
      <w:r>
        <w:t xml:space="preserve">Architecture Overview</w:t>
      </w:r>
    </w:p>
    <w:p>
      <w:pPr>
        <w:spacing w:after="160" w:line="300"/>
      </w:pPr>
      <w:r>
        <w:rPr>
          <w:rFonts w:ascii="Arial" w:cs="Arial" w:eastAsia="Arial" w:hAnsi="Arial"/>
          <w:color w:val="334155"/>
          <w:sz w:val="22"/>
          <w:szCs w:val="22"/>
        </w:rPr>
        <w:t xml:space="preserve">The system follows a five-layer pipeline architecture: Ingest, Process, Store, Analyze, and Deliver. Each layer is independently scalable and communicates via Apache Kafka as the central event bus.</w:t>
      </w:r>
    </w:p>
    <w:p>
      <w:pPr>
        <w:spacing w:after="200"/>
      </w:pPr>
    </w:p>
    <w:p>
      <w:pPr>
        <w:pStyle w:val="Heading2"/>
      </w:pPr>
      <w:r>
        <w:t xml:space="preserve">Data Ingestion Layer</w:t>
      </w:r>
    </w:p>
    <w:p>
      <w:pPr>
        <w:spacing w:after="160" w:line="300"/>
      </w:pPr>
      <w:r>
        <w:rPr>
          <w:rFonts w:ascii="Arial" w:cs="Arial" w:eastAsia="Arial" w:hAnsi="Arial"/>
          <w:color w:val="334155"/>
          <w:sz w:val="22"/>
          <w:szCs w:val="22"/>
        </w:rPr>
        <w:t xml:space="preserve">All external data sources feed into the platform through dedicated connector microservices. Each connector normalizes raw input into a preliminary STIX 2.1 envelope before publishing to Kafka topics. This ensures downstream processors never deal with source-specific formats.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16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RSS / ATOM Feeds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Threat blogs, vendor advisories (e.g., Mandiant, Recorded Future blog), CVE announcement feeds, government CERT advisories (US-CERT, JPCERT). Polled via configurable intervals with change detection.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MITRE ATT&amp;CK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Groups (e.g., APT37/ScarCruft), Software, Campaigns, Techniques, Mitigations, Data Sources. Pulled via STIX bundle from the official ATT&amp;CK STIX repository. D3FEND countermeasures mapped as mitigations.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Abuse.ch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URLhaus (malicious URLs), MalwareBazaar (malware samples), ThreatFox (IOCs), SSL Blacklist. Real-time API feeds with delta polling.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STIX/TAXII 2.1</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AlienVault OTX, CIRCL MISP feeds, sector-specific ISACs (FS-ISAC, H-ISAC). Standard TAXII client with pagination and filtering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Additional CTI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VirusTotal (file/URL/domain reports), Shodan (exposed infrastructure), GreyNoise (internet noise classification), CISA KEV (known exploited vulnerabilities), NVD (CVE details).</w:t>
            </w:r>
          </w:p>
        </w:tc>
      </w:tr>
    </w:tbl>
    <w:p>
      <w:pPr>
        <w:spacing w:after="200"/>
      </w:pPr>
    </w:p>
    <w:p>
      <w:pPr>
        <w:pStyle w:val="Heading2"/>
      </w:pPr>
      <w:r>
        <w:t xml:space="preserve">Processing &amp; Enrichment Layer</w:t>
      </w:r>
    </w:p>
    <w:p>
      <w:pPr>
        <w:spacing w:after="160" w:line="300"/>
      </w:pPr>
      <w:r>
        <w:rPr>
          <w:rFonts w:ascii="Arial" w:cs="Arial" w:eastAsia="Arial" w:hAnsi="Arial"/>
          <w:color w:val="334155"/>
          <w:sz w:val="22"/>
          <w:szCs w:val="22"/>
        </w:rPr>
        <w:t xml:space="preserve">Kafka consumers process incoming STIX envelopes through a sequential enrichment pipeline. Each stage is a separate consumer group, enabling independent scaling and failure isolation.</w:t>
      </w:r>
    </w:p>
    <w:p>
      <w:pPr>
        <w:spacing w:after="200"/>
      </w:pPr>
    </w:p>
    <w:p>
      <w:pPr>
        <w:spacing w:after="120" w:line="300"/>
      </w:pPr>
      <w:r>
        <w:rPr>
          <w:rFonts w:ascii="Arial" w:cs="Arial" w:eastAsia="Arial" w:hAnsi="Arial"/>
          <w:b/>
          <w:bCs/>
          <w:color w:val="1e293b"/>
          <w:sz w:val="22"/>
          <w:szCs w:val="22"/>
        </w:rPr>
        <w:t xml:space="preserve">Stage 1 — Normalization: </w:t>
      </w:r>
      <w:r>
        <w:rPr>
          <w:rFonts w:ascii="Arial" w:cs="Arial" w:eastAsia="Arial" w:hAnsi="Arial"/>
          <w:color w:val="334155"/>
          <w:sz w:val="22"/>
          <w:szCs w:val="22"/>
        </w:rPr>
        <w:t xml:space="preserve">All incoming data is validated against the STIX 2.1 schema. Non-STIX sources (RSS, raw API responses) are transformed using source-specific adapters. Every object receives a confidence score based on source reliability and freshness.</w:t>
      </w:r>
    </w:p>
    <w:p>
      <w:pPr>
        <w:spacing w:after="120" w:line="300"/>
      </w:pPr>
      <w:r>
        <w:rPr>
          <w:rFonts w:ascii="Arial" w:cs="Arial" w:eastAsia="Arial" w:hAnsi="Arial"/>
          <w:b/>
          <w:bCs/>
          <w:color w:val="1e293b"/>
          <w:sz w:val="22"/>
          <w:szCs w:val="22"/>
        </w:rPr>
        <w:t xml:space="preserve">Stage 2 — Deduplication: </w:t>
      </w:r>
      <w:r>
        <w:rPr>
          <w:rFonts w:ascii="Arial" w:cs="Arial" w:eastAsia="Arial" w:hAnsi="Arial"/>
          <w:color w:val="334155"/>
          <w:sz w:val="22"/>
          <w:szCs w:val="22"/>
        </w:rPr>
        <w:t xml:space="preserve">IOCs are deduplicated using a combination of exact hash matching (SHA-256 for file indicators), fuzzy URL matching (normalized domain + path), and temporal windowing. Duplicate detections increment a sighting count rather than creating new records.</w:t>
      </w:r>
    </w:p>
    <w:p>
      <w:pPr>
        <w:spacing w:after="120" w:line="300"/>
      </w:pPr>
      <w:r>
        <w:rPr>
          <w:rFonts w:ascii="Arial" w:cs="Arial" w:eastAsia="Arial" w:hAnsi="Arial"/>
          <w:b/>
          <w:bCs/>
          <w:color w:val="1e293b"/>
          <w:sz w:val="22"/>
          <w:szCs w:val="22"/>
        </w:rPr>
        <w:t xml:space="preserve">Stage 3 — Enrichment: </w:t>
      </w:r>
      <w:r>
        <w:rPr>
          <w:rFonts w:ascii="Arial" w:cs="Arial" w:eastAsia="Arial" w:hAnsi="Arial"/>
          <w:color w:val="334155"/>
          <w:sz w:val="22"/>
          <w:szCs w:val="22"/>
        </w:rPr>
        <w:t xml:space="preserve">Each IOC is cross-referenced against MITRE ATT&amp;CK (TTP mapping), passive DNS databases, WHOIS records, GeoIP data, and reputation services. Enrichment results are attached as STIX extensions to the original object.</w:t>
      </w:r>
    </w:p>
    <w:p>
      <w:pPr>
        <w:spacing w:after="120" w:line="300"/>
      </w:pPr>
      <w:r>
        <w:rPr>
          <w:rFonts w:ascii="Arial" w:cs="Arial" w:eastAsia="Arial" w:hAnsi="Arial"/>
          <w:b/>
          <w:bCs/>
          <w:color w:val="1e293b"/>
          <w:sz w:val="22"/>
          <w:szCs w:val="22"/>
        </w:rPr>
        <w:t xml:space="preserve">Stage 4 — Correlation: </w:t>
      </w:r>
      <w:r>
        <w:rPr>
          <w:rFonts w:ascii="Arial" w:cs="Arial" w:eastAsia="Arial" w:hAnsi="Arial"/>
          <w:color w:val="334155"/>
          <w:sz w:val="22"/>
          <w:szCs w:val="22"/>
        </w:rPr>
        <w:t xml:space="preserve">The Campaign Correlator analyzes enriched IOCs to identify relationships. It uses a combination of rule-based matching (shared infrastructure, overlapping TTPs) and LLM-assisted analysis to link IOCs to known APT campaigns. Results are stored as STIX Relationship objects in Neo4j.</w:t>
      </w:r>
    </w:p>
    <w:p>
      <w:pPr>
        <w:spacing w:after="120" w:line="300"/>
      </w:pPr>
      <w:r>
        <w:rPr>
          <w:rFonts w:ascii="Arial" w:cs="Arial" w:eastAsia="Arial" w:hAnsi="Arial"/>
          <w:b/>
          <w:bCs/>
          <w:color w:val="1e293b"/>
          <w:sz w:val="22"/>
          <w:szCs w:val="22"/>
        </w:rPr>
        <w:t xml:space="preserve">Stage 5 — Kill Chain Mapping: </w:t>
      </w:r>
      <w:r>
        <w:rPr>
          <w:rFonts w:ascii="Arial" w:cs="Arial" w:eastAsia="Arial" w:hAnsi="Arial"/>
          <w:color w:val="334155"/>
          <w:sz w:val="22"/>
          <w:szCs w:val="22"/>
        </w:rPr>
        <w:t xml:space="preserve">Artifacts are automatically mapped to Cyber Kill Chain phases and Diamond Model vertices based on their IOC type, associated TTPs, and contextual indicators. This enables the attack tree visualization in the output layer.</w:t>
      </w:r>
    </w:p>
    <w:p>
      <w:pPr>
        <w:spacing w:after="200"/>
      </w:pPr>
    </w:p>
    <w:p>
      <w:pPr>
        <w:pStyle w:val="Heading1"/>
      </w:pPr>
      <w:r>
        <w:t xml:space="preserve">Data Layer</w:t>
      </w:r>
    </w:p>
    <w:p>
      <w:pPr>
        <w:spacing w:after="160" w:line="300"/>
      </w:pPr>
      <w:r>
        <w:rPr>
          <w:rFonts w:ascii="Arial" w:cs="Arial" w:eastAsia="Arial" w:hAnsi="Arial"/>
          <w:color w:val="334155"/>
          <w:sz w:val="22"/>
          <w:szCs w:val="22"/>
        </w:rPr>
        <w:t xml:space="preserve">The platform uses a polyglot persistence strategy, choosing the right database for each data access pattern. This avoids forcing a single database to handle fundamentally different workloads.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716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Primary relational store for structured IOC metadata, user accounts, RBAC permissions, audit logs, and campaign records. Also hosts pgvector extension for RAG embeddings, keeping vector data co-located with relational data for simpler operations.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Neo4j</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 database for relationship traversal. Stores STIX Relationship objects: IOC ↔ TTP ↔ APT Group ↔ Campaign ↔ Software. Powers the interactive attack tree / mind map visualization with sub-second traversal queries.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OpenSearch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Full-text search engine for IOCs, generated reports, campaign descriptions, and executive summaries. Supports faceted search, fuzzy matching, and real-time indexing from the Kafka pipeline.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In-memory cache for hot IOC lookups (recently queried indicators), user session state, API rate limiting, and real-time feed health monitoring dashboards.</w:t>
            </w:r>
          </w:p>
        </w:tc>
      </w:tr>
    </w:tbl>
    <w:p>
      <w:pPr>
        <w:spacing w:after="200"/>
      </w:pPr>
    </w:p>
    <w:p>
      <w:pPr>
        <w:pStyle w:val="Heading1"/>
      </w:pPr>
      <w:r>
        <w:t xml:space="preserve">AI &amp; Intelligence Engine</w:t>
      </w:r>
    </w:p>
    <w:p>
      <w:pPr>
        <w:spacing w:after="160" w:line="300"/>
      </w:pPr>
      <w:r>
        <w:rPr>
          <w:rFonts w:ascii="Arial" w:cs="Arial" w:eastAsia="Arial" w:hAnsi="Arial"/>
          <w:color w:val="334155"/>
          <w:sz w:val="22"/>
          <w:szCs w:val="22"/>
        </w:rPr>
        <w:t xml:space="preserve">The intelligence engine uses Retrieval-Augmented Generation (RAG) to ground LLM outputs in the platform’s own CTI corpus. This prevents hallucination and ensures generated content references actual, current threat data.</w:t>
      </w:r>
    </w:p>
    <w:p>
      <w:pPr>
        <w:spacing w:after="200"/>
      </w:pPr>
    </w:p>
    <w:p>
      <w:pPr>
        <w:pStyle w:val="Heading2"/>
      </w:pPr>
      <w:r>
        <w:t xml:space="preserve">RAG Pipeline Architecture</w:t>
      </w:r>
    </w:p>
    <w:p>
      <w:pPr>
        <w:spacing w:after="120" w:line="300"/>
      </w:pPr>
      <w:r>
        <w:rPr>
          <w:rFonts w:ascii="Arial" w:cs="Arial" w:eastAsia="Arial" w:hAnsi="Arial"/>
          <w:b/>
          <w:bCs/>
          <w:color w:val="1e293b"/>
          <w:sz w:val="22"/>
          <w:szCs w:val="22"/>
        </w:rPr>
        <w:t xml:space="preserve">Embedding Model: </w:t>
      </w:r>
      <w:r>
        <w:rPr>
          <w:rFonts w:ascii="Arial" w:cs="Arial" w:eastAsia="Arial" w:hAnsi="Arial"/>
          <w:color w:val="334155"/>
          <w:sz w:val="22"/>
          <w:szCs w:val="22"/>
        </w:rPr>
        <w:t xml:space="preserve">Sentence-transformers (e.g., all-MiniLM-L6-v2 or a security-domain fine-tuned model) generate vector embeddings for all ingested CTI content. Embeddings are stored in pgvector with metadata pointers back to the source records.</w:t>
      </w:r>
    </w:p>
    <w:p>
      <w:pPr>
        <w:spacing w:after="120" w:line="300"/>
      </w:pPr>
      <w:r>
        <w:rPr>
          <w:rFonts w:ascii="Arial" w:cs="Arial" w:eastAsia="Arial" w:hAnsi="Arial"/>
          <w:b/>
          <w:bCs/>
          <w:color w:val="1e293b"/>
          <w:sz w:val="22"/>
          <w:szCs w:val="22"/>
        </w:rPr>
        <w:t xml:space="preserve">Retrieval: </w:t>
      </w:r>
      <w:r>
        <w:rPr>
          <w:rFonts w:ascii="Arial" w:cs="Arial" w:eastAsia="Arial" w:hAnsi="Arial"/>
          <w:color w:val="334155"/>
          <w:sz w:val="22"/>
          <w:szCs w:val="22"/>
        </w:rPr>
        <w:t xml:space="preserve">User queries (or system-triggered generation requests) are embedded and matched against the vector store using cosine similarity. The top-k results are retrieved along with their full STIX context from PostgreSQL and relationship context from Neo4j.</w:t>
      </w:r>
    </w:p>
    <w:p>
      <w:pPr>
        <w:spacing w:after="120" w:line="300"/>
      </w:pPr>
      <w:r>
        <w:rPr>
          <w:rFonts w:ascii="Arial" w:cs="Arial" w:eastAsia="Arial" w:hAnsi="Arial"/>
          <w:b/>
          <w:bCs/>
          <w:color w:val="1e293b"/>
          <w:sz w:val="22"/>
          <w:szCs w:val="22"/>
        </w:rPr>
        <w:t xml:space="preserve">Generation: </w:t>
      </w:r>
      <w:r>
        <w:rPr>
          <w:rFonts w:ascii="Arial" w:cs="Arial" w:eastAsia="Arial" w:hAnsi="Arial"/>
          <w:color w:val="334155"/>
          <w:sz w:val="22"/>
          <w:szCs w:val="22"/>
        </w:rPr>
        <w:t xml:space="preserve">Retrieved context is assembled into a structured prompt and passed to the LLM (Claude API for cloud deployment, or a locally-hosted model like Mistral for air-gapped environments). The prompt template varies based on the target audience.</w:t>
      </w:r>
    </w:p>
    <w:p>
      <w:pPr>
        <w:spacing w:after="200"/>
      </w:pPr>
    </w:p>
    <w:p>
      <w:pPr>
        <w:pStyle w:val="Heading2"/>
      </w:pPr>
      <w:r>
        <w:t xml:space="preserve">Summary Generation</w:t>
      </w:r>
    </w:p>
    <w:p>
      <w:pPr>
        <w:spacing w:after="160" w:line="300"/>
      </w:pPr>
      <w:r>
        <w:rPr>
          <w:rFonts w:ascii="Arial" w:cs="Arial" w:eastAsia="Arial" w:hAnsi="Arial"/>
          <w:color w:val="334155"/>
          <w:sz w:val="22"/>
          <w:szCs w:val="22"/>
        </w:rPr>
        <w:t xml:space="preserve">The platform generates two distinct summary types from the same underlying intelligence:</w:t>
      </w:r>
    </w:p>
    <w:p>
      <w:pPr>
        <w:spacing w:after="200"/>
      </w:pPr>
    </w:p>
    <w:p>
      <w:pPr>
        <w:spacing w:after="120" w:line="300"/>
      </w:pPr>
      <w:r>
        <w:rPr>
          <w:rFonts w:ascii="Arial" w:cs="Arial" w:eastAsia="Arial" w:hAnsi="Arial"/>
          <w:b/>
          <w:bCs/>
          <w:color w:val="1e293b"/>
          <w:sz w:val="22"/>
          <w:szCs w:val="22"/>
        </w:rPr>
        <w:t xml:space="preserve">Executive Summary: </w:t>
      </w:r>
      <w:r>
        <w:rPr>
          <w:rFonts w:ascii="Arial" w:cs="Arial" w:eastAsia="Arial" w:hAnsi="Arial"/>
          <w:color w:val="334155"/>
          <w:sz w:val="22"/>
          <w:szCs w:val="22"/>
        </w:rPr>
        <w:t xml:space="preserve">Written in non-technical language. Focuses on business impact, affected sectors/geographies, risk severity (Critical/High/Medium/Low), recommended strategic actions, and estimated remediation timeline. Suitable for CISO briefings and board-level reporting.</w:t>
      </w:r>
    </w:p>
    <w:p>
      <w:pPr>
        <w:spacing w:after="120" w:line="300"/>
      </w:pPr>
      <w:r>
        <w:rPr>
          <w:rFonts w:ascii="Arial" w:cs="Arial" w:eastAsia="Arial" w:hAnsi="Arial"/>
          <w:b/>
          <w:bCs/>
          <w:color w:val="1e293b"/>
          <w:sz w:val="22"/>
          <w:szCs w:val="22"/>
        </w:rPr>
        <w:t xml:space="preserve">Technical Summary: </w:t>
      </w:r>
      <w:r>
        <w:rPr>
          <w:rFonts w:ascii="Arial" w:cs="Arial" w:eastAsia="Arial" w:hAnsi="Arial"/>
          <w:color w:val="334155"/>
          <w:sz w:val="22"/>
          <w:szCs w:val="22"/>
        </w:rPr>
        <w:t xml:space="preserve">Written for SOC analysts and incident responders. Includes specific IOCs (hashes, IPs, domains, URLs), mapped MITRE ATT&amp;CK techniques with IDs, YARA and Sigma detection rule suggestions, remediation playbook steps, and links to related campaigns in the platform.</w:t>
      </w:r>
    </w:p>
    <w:p>
      <w:pPr>
        <w:spacing w:after="160" w:line="300"/>
      </w:pPr>
      <w:r>
        <w:rPr>
          <w:rFonts w:ascii="Arial" w:cs="Arial" w:eastAsia="Arial" w:hAnsi="Arial"/>
          <w:color w:val="334155"/>
          <w:sz w:val="22"/>
          <w:szCs w:val="22"/>
        </w:rPr>
        <w:t xml:space="preserve">Users can generate either summary on-demand for any campaign, APT group, or IOC cluster. Summaries are also auto-generated when new high-severity campaigns are detected.</w:t>
      </w:r>
    </w:p>
    <w:p>
      <w:pPr>
        <w:spacing w:after="200"/>
      </w:pPr>
    </w:p>
    <w:p>
      <w:pPr>
        <w:pStyle w:val="Heading1"/>
      </w:pPr>
      <w:r>
        <w:t xml:space="preserve">Output &amp; Visualization Layer</w:t>
      </w:r>
    </w:p>
    <w:p>
      <w:pPr>
        <w:spacing w:after="200"/>
      </w:pPr>
    </w:p>
    <w:p>
      <w:pPr>
        <w:pStyle w:val="Heading2"/>
      </w:pPr>
      <w:r>
        <w:t xml:space="preserve">Interactive Attack Tree / Mind Map</w:t>
      </w:r>
    </w:p>
    <w:p>
      <w:pPr>
        <w:spacing w:after="160" w:line="300"/>
      </w:pPr>
      <w:r>
        <w:rPr>
          <w:rFonts w:ascii="Arial" w:cs="Arial" w:eastAsia="Arial" w:hAnsi="Arial"/>
          <w:color w:val="334155"/>
          <w:sz w:val="22"/>
          <w:szCs w:val="22"/>
        </w:rPr>
        <w:t xml:space="preserve">The primary visualization is a force-directed graph powered by D3.js (or Cytoscape.js for more complex layouts). Users can start from any node — a campaign, APT group, TTP, or IOC — and explore connected relationships interactively.</w:t>
      </w:r>
    </w:p>
    <w:p>
      <w:pPr>
        <w:spacing w:after="160" w:line="300"/>
      </w:pPr>
      <w:r>
        <w:rPr>
          <w:rFonts w:ascii="Arial" w:cs="Arial" w:eastAsia="Arial" w:hAnsi="Arial"/>
          <w:color w:val="334155"/>
          <w:sz w:val="22"/>
          <w:szCs w:val="22"/>
        </w:rPr>
        <w:t xml:space="preserve">The graph data is served from Neo4j via a dedicated GraphQL API that supports depth-limited traversal queries. Client-side filtering allows users to show/hide node types, filter by severity, or focus on specific Kill Chain phases.</w:t>
      </w:r>
    </w:p>
    <w:p>
      <w:pPr>
        <w:spacing w:after="200"/>
      </w:pPr>
    </w:p>
    <w:p>
      <w:pPr>
        <w:pStyle w:val="Heading2"/>
      </w:pPr>
      <w:r>
        <w:t xml:space="preserve">Search Interface</w:t>
      </w:r>
    </w:p>
    <w:p>
      <w:pPr>
        <w:spacing w:after="160" w:line="300"/>
      </w:pPr>
      <w:r>
        <w:rPr>
          <w:rFonts w:ascii="Arial" w:cs="Arial" w:eastAsia="Arial" w:hAnsi="Arial"/>
          <w:color w:val="334155"/>
          <w:sz w:val="22"/>
          <w:szCs w:val="22"/>
        </w:rPr>
        <w:t xml:space="preserve">OpenSearch powers both structured and natural language search. Users can run traditional queries (e.g., IOC value lookup, campaign name search) as well as natural language queries that are pre-processed by the LLM to generate appropriate OpenSearch DSL.</w:t>
      </w:r>
    </w:p>
    <w:p>
      <w:pPr>
        <w:spacing w:after="160" w:line="300"/>
      </w:pPr>
      <w:r>
        <w:rPr>
          <w:rFonts w:ascii="Arial" w:cs="Arial" w:eastAsia="Arial" w:hAnsi="Arial"/>
          <w:color w:val="334155"/>
          <w:sz w:val="22"/>
          <w:szCs w:val="22"/>
        </w:rPr>
        <w:t xml:space="preserve">Example queries: “Show all IOCs linked to APT37 in the last 90 days,” “What campaigns target the financial sector using spear-phishing?”, “Find all domains associated with Lazarus Group infrastructure.”</w:t>
      </w:r>
    </w:p>
    <w:p>
      <w:pPr>
        <w:spacing w:after="200"/>
      </w:pPr>
    </w:p>
    <w:p>
      <w:pPr>
        <w:pStyle w:val="Heading2"/>
      </w:pPr>
      <w:r>
        <w:t xml:space="preserve">SOAR Integration</w:t>
      </w:r>
    </w:p>
    <w:p>
      <w:pPr>
        <w:spacing w:after="160" w:line="300"/>
      </w:pPr>
      <w:r>
        <w:rPr>
          <w:rFonts w:ascii="Arial" w:cs="Arial" w:eastAsia="Arial" w:hAnsi="Arial"/>
          <w:color w:val="334155"/>
          <w:sz w:val="22"/>
          <w:szCs w:val="22"/>
        </w:rPr>
        <w:t xml:space="preserve">The platform exposes a REST API and webhook system for SOAR platform integration. Supported targets include Cortex XSOAR, Splunk SOAR, and TheHive. When high-confidence IOCs are detected, the platform can automatically trigger enrichment playbooks, create cases, or push indicators to blocking lists via the SOAR API.</w:t>
      </w:r>
    </w:p>
    <w:p>
      <w:pPr>
        <w:spacing w:after="200"/>
      </w:pPr>
    </w:p>
    <w:p>
      <w:pPr>
        <w:pStyle w:val="Heading2"/>
      </w:pPr>
      <w:r>
        <w:t xml:space="preserve">Export &amp; Sharing</w:t>
      </w:r>
    </w:p>
    <w:p>
      <w:pPr>
        <w:spacing w:after="160" w:line="300"/>
      </w:pPr>
      <w:r>
        <w:rPr>
          <w:rFonts w:ascii="Arial" w:cs="Arial" w:eastAsia="Arial" w:hAnsi="Arial"/>
          <w:color w:val="334155"/>
          <w:sz w:val="22"/>
          <w:szCs w:val="22"/>
        </w:rPr>
        <w:t xml:space="preserve">Enriched intelligence can be exported as STIX 2.1 bundles via a built-in TAXII server, enabling downstream sharing with partners, ISACs, and MSSP clients. PDF and DOCX report generation is available with audience-toggle (executive vs. technical).</w:t>
      </w:r>
    </w:p>
    <w:p>
      <w:pPr>
        <w:spacing w:after="200"/>
      </w:pPr>
    </w:p>
    <w:p>
      <w:pPr>
        <w:pStyle w:val="Heading1"/>
      </w:pPr>
      <w:r>
        <w:t xml:space="preserve">Recommended Technology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BD5E1" w:sz="1"/>
              <w:left w:val="single" w:color="CBD5E1" w:sz="1"/>
              <w:bottom w:val="single" w:color="CBD5E1" w:sz="1"/>
              <w:right w:val="single" w:color="CBD5E1" w:sz="1"/>
            </w:tcBorders>
            <w:shd w:fill="0A0E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Event Bus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Apache Kafka (with Schema Registry for STIX envelope validation)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Connectors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microservices using asyncio + aiohttp for concurrent feed polling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Backend API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(Python) — async, auto-documented, strong typing with Pydantic STIX models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 API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Strawberry GraphQL over Neo4j — type-safe graph traversal queries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Relational DB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16 with pgvector extension for RAG embeddings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 DB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Neo4j 5.x — native graph storage for STIX relationship traversal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Search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OpenSearch 2.x — full-text and faceted search with real-time indexing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Cache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Redis 7 — hot IOC cache, session store, rate limiter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LLM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Claude API (primary) or Mistral 7B (self-hosted for air-gapped deployments)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RAG Framework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LangChain with custom STIX retriever and pgvector store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React 18 + TypeScript, D3.js or Cytoscape.js for graph viz, Tailwind CSS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Infrastructure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Docker + Kubernetes, Nginx reverse proxy, Prometheus + Grafana monitoring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STIX 2.1, TAXII 2.1, MITRE ATT&amp;CK v15, Cyber Kill Chain, Diamond Model</w:t>
            </w:r>
          </w:p>
        </w:tc>
      </w:tr>
    </w:tbl>
    <w:p>
      <w:pPr>
        <w:spacing w:after="200"/>
      </w:pPr>
    </w:p>
    <w:p>
      <w:pPr>
        <w:pStyle w:val="Heading1"/>
      </w:pPr>
      <w:r>
        <w:t xml:space="preserve">Security Considerations</w:t>
      </w:r>
    </w:p>
    <w:p>
      <w:pPr>
        <w:spacing w:after="120" w:line="300"/>
      </w:pPr>
      <w:r>
        <w:rPr>
          <w:rFonts w:ascii="Arial" w:cs="Arial" w:eastAsia="Arial" w:hAnsi="Arial"/>
          <w:b/>
          <w:bCs/>
          <w:color w:val="1e293b"/>
          <w:sz w:val="22"/>
          <w:szCs w:val="22"/>
        </w:rPr>
        <w:t xml:space="preserve">Authentication: </w:t>
      </w:r>
      <w:r>
        <w:rPr>
          <w:rFonts w:ascii="Arial" w:cs="Arial" w:eastAsia="Arial" w:hAnsi="Arial"/>
          <w:color w:val="334155"/>
          <w:sz w:val="22"/>
          <w:szCs w:val="22"/>
        </w:rPr>
        <w:t xml:space="preserve">OIDC/SAML SSO integration with RBAC. Role hierarchy: Admin &gt; Analyst &gt; Viewer &gt; API Consumer. MSSP clients receive scoped API tokens with tenant isolation.</w:t>
      </w:r>
    </w:p>
    <w:p>
      <w:pPr>
        <w:spacing w:after="120" w:line="300"/>
      </w:pPr>
      <w:r>
        <w:rPr>
          <w:rFonts w:ascii="Arial" w:cs="Arial" w:eastAsia="Arial" w:hAnsi="Arial"/>
          <w:b/>
          <w:bCs/>
          <w:color w:val="1e293b"/>
          <w:sz w:val="22"/>
          <w:szCs w:val="22"/>
        </w:rPr>
        <w:t xml:space="preserve">Data Classification: </w:t>
      </w:r>
      <w:r>
        <w:rPr>
          <w:rFonts w:ascii="Arial" w:cs="Arial" w:eastAsia="Arial" w:hAnsi="Arial"/>
          <w:color w:val="334155"/>
          <w:sz w:val="22"/>
          <w:szCs w:val="22"/>
        </w:rPr>
        <w:t xml:space="preserve">TLP (Traffic Light Protocol) tagging on all intelligence objects. TLP:RED content is restricted to specific user groups. Export controls enforce TLP compliance.</w:t>
      </w:r>
    </w:p>
    <w:p>
      <w:pPr>
        <w:spacing w:after="120" w:line="300"/>
      </w:pPr>
      <w:r>
        <w:rPr>
          <w:rFonts w:ascii="Arial" w:cs="Arial" w:eastAsia="Arial" w:hAnsi="Arial"/>
          <w:b/>
          <w:bCs/>
          <w:color w:val="1e293b"/>
          <w:sz w:val="22"/>
          <w:szCs w:val="22"/>
        </w:rPr>
        <w:t xml:space="preserve">Audit Logging: </w:t>
      </w:r>
      <w:r>
        <w:rPr>
          <w:rFonts w:ascii="Arial" w:cs="Arial" w:eastAsia="Arial" w:hAnsi="Arial"/>
          <w:color w:val="334155"/>
          <w:sz w:val="22"/>
          <w:szCs w:val="22"/>
        </w:rPr>
        <w:t xml:space="preserve">All user actions, API calls, and automated enrichment actions are logged to an immutable audit trail in PostgreSQL with tamper-evident hashing.</w:t>
      </w:r>
    </w:p>
    <w:p>
      <w:pPr>
        <w:spacing w:after="120" w:line="300"/>
      </w:pPr>
      <w:r>
        <w:rPr>
          <w:rFonts w:ascii="Arial" w:cs="Arial" w:eastAsia="Arial" w:hAnsi="Arial"/>
          <w:b/>
          <w:bCs/>
          <w:color w:val="1e293b"/>
          <w:sz w:val="22"/>
          <w:szCs w:val="22"/>
        </w:rPr>
        <w:t xml:space="preserve">Network Security: </w:t>
      </w:r>
      <w:r>
        <w:rPr>
          <w:rFonts w:ascii="Arial" w:cs="Arial" w:eastAsia="Arial" w:hAnsi="Arial"/>
          <w:color w:val="334155"/>
          <w:sz w:val="22"/>
          <w:szCs w:val="22"/>
        </w:rPr>
        <w:t xml:space="preserve">All inter-service communication over mTLS. External API endpoints behind WAF with rate limiting. Kafka cluster in private network segment.</w:t>
      </w:r>
    </w:p>
    <w:p>
      <w:pPr>
        <w:spacing w:after="200"/>
      </w:pPr>
    </w:p>
    <w:p>
      <w:pPr>
        <w:pStyle w:val="Heading1"/>
      </w:pPr>
      <w:r>
        <w:t xml:space="preserve">Scalability &amp; Performance</w:t>
      </w:r>
    </w:p>
    <w:p>
      <w:pPr>
        <w:spacing w:after="120" w:line="300"/>
      </w:pPr>
      <w:r>
        <w:rPr>
          <w:rFonts w:ascii="Arial" w:cs="Arial" w:eastAsia="Arial" w:hAnsi="Arial"/>
          <w:b/>
          <w:bCs/>
          <w:color w:val="1e293b"/>
          <w:sz w:val="22"/>
          <w:szCs w:val="22"/>
        </w:rPr>
        <w:t xml:space="preserve">Kafka Partitioning: </w:t>
      </w:r>
      <w:r>
        <w:rPr>
          <w:rFonts w:ascii="Arial" w:cs="Arial" w:eastAsia="Arial" w:hAnsi="Arial"/>
          <w:color w:val="334155"/>
          <w:sz w:val="22"/>
          <w:szCs w:val="22"/>
        </w:rPr>
        <w:t xml:space="preserve">Topic partitioning by IOC type enables parallel processing. Consumer groups scale horizontally — add more pods to handle increased feed volume.</w:t>
      </w:r>
    </w:p>
    <w:p>
      <w:pPr>
        <w:spacing w:after="120" w:line="300"/>
      </w:pPr>
      <w:r>
        <w:rPr>
          <w:rFonts w:ascii="Arial" w:cs="Arial" w:eastAsia="Arial" w:hAnsi="Arial"/>
          <w:b/>
          <w:bCs/>
          <w:color w:val="1e293b"/>
          <w:sz w:val="22"/>
          <w:szCs w:val="22"/>
        </w:rPr>
        <w:t xml:space="preserve">Database Sharding: </w:t>
      </w:r>
      <w:r>
        <w:rPr>
          <w:rFonts w:ascii="Arial" w:cs="Arial" w:eastAsia="Arial" w:hAnsi="Arial"/>
          <w:color w:val="334155"/>
          <w:sz w:val="22"/>
          <w:szCs w:val="22"/>
        </w:rPr>
        <w:t xml:space="preserve">PostgreSQL supports table partitioning by date for IOC data (most queries are time-bounded). Neo4j uses causal clustering for read replicas.</w:t>
      </w:r>
    </w:p>
    <w:p>
      <w:pPr>
        <w:spacing w:after="120" w:line="300"/>
      </w:pPr>
      <w:r>
        <w:rPr>
          <w:rFonts w:ascii="Arial" w:cs="Arial" w:eastAsia="Arial" w:hAnsi="Arial"/>
          <w:b/>
          <w:bCs/>
          <w:color w:val="1e293b"/>
          <w:sz w:val="22"/>
          <w:szCs w:val="22"/>
        </w:rPr>
        <w:t xml:space="preserve">Caching Strategy: </w:t>
      </w:r>
      <w:r>
        <w:rPr>
          <w:rFonts w:ascii="Arial" w:cs="Arial" w:eastAsia="Arial" w:hAnsi="Arial"/>
          <w:color w:val="334155"/>
          <w:sz w:val="22"/>
          <w:szCs w:val="22"/>
        </w:rPr>
        <w:t xml:space="preserve">Redis caches the top 10,000 most-queried IOCs with a 15-minute TTL. Cache-aside pattern ensures consistency with the source databases.</w:t>
      </w:r>
    </w:p>
    <w:p>
      <w:pPr>
        <w:spacing w:after="120" w:line="300"/>
      </w:pPr>
      <w:r>
        <w:rPr>
          <w:rFonts w:ascii="Arial" w:cs="Arial" w:eastAsia="Arial" w:hAnsi="Arial"/>
          <w:b/>
          <w:bCs/>
          <w:color w:val="1e293b"/>
          <w:sz w:val="22"/>
          <w:szCs w:val="22"/>
        </w:rPr>
        <w:t xml:space="preserve">Target Throughput: </w:t>
      </w:r>
      <w:r>
        <w:rPr>
          <w:rFonts w:ascii="Arial" w:cs="Arial" w:eastAsia="Arial" w:hAnsi="Arial"/>
          <w:color w:val="334155"/>
          <w:sz w:val="22"/>
          <w:szCs w:val="22"/>
        </w:rPr>
        <w:t xml:space="preserve">Designed to handle 50,000+ IOCs/hour ingestion with sub-second search response times and under 30-second summary generation.</w:t>
      </w:r>
    </w:p>
    <w:p>
      <w:pPr>
        <w:spacing w:after="200"/>
      </w:pPr>
    </w:p>
    <w:p>
      <w:pPr>
        <w:pStyle w:val="Heading1"/>
      </w:pPr>
      <w:r>
        <w:t xml:space="preserve">Next Steps</w:t>
      </w:r>
    </w:p>
    <w:p>
      <w:pPr>
        <w:pStyle w:val="ListParagraph"/>
        <w:numPr>
          <w:ilvl w:val="0"/>
          <w:numId w:val="2"/>
        </w:numPr>
        <w:spacing w:after="100"/>
      </w:pPr>
      <w:r>
        <w:rPr>
          <w:rFonts w:ascii="Arial" w:cs="Arial" w:eastAsia="Arial" w:hAnsi="Arial"/>
          <w:sz w:val="22"/>
          <w:szCs w:val="22"/>
        </w:rPr>
        <w:t xml:space="preserve">Finalize CTI source list and negotiate API access / licensing for premium feeds</w:t>
      </w:r>
    </w:p>
    <w:p>
      <w:pPr>
        <w:pStyle w:val="ListParagraph"/>
        <w:numPr>
          <w:ilvl w:val="0"/>
          <w:numId w:val="2"/>
        </w:numPr>
        <w:spacing w:after="100"/>
      </w:pPr>
      <w:r>
        <w:rPr>
          <w:rFonts w:ascii="Arial" w:cs="Arial" w:eastAsia="Arial" w:hAnsi="Arial"/>
          <w:sz w:val="22"/>
          <w:szCs w:val="22"/>
        </w:rPr>
        <w:t xml:space="preserve">Set up Kafka cluster and build first two connectors (RSS + MITRE ATT&amp;CK) as MVP</w:t>
      </w:r>
    </w:p>
    <w:p>
      <w:pPr>
        <w:pStyle w:val="ListParagraph"/>
        <w:numPr>
          <w:ilvl w:val="0"/>
          <w:numId w:val="2"/>
        </w:numPr>
        <w:spacing w:after="100"/>
      </w:pPr>
      <w:r>
        <w:rPr>
          <w:rFonts w:ascii="Arial" w:cs="Arial" w:eastAsia="Arial" w:hAnsi="Arial"/>
          <w:sz w:val="22"/>
          <w:szCs w:val="22"/>
        </w:rPr>
        <w:t xml:space="preserve">Design the STIX 2.1 data model and Neo4j schema for relationship storage</w:t>
      </w:r>
    </w:p>
    <w:p>
      <w:pPr>
        <w:pStyle w:val="ListParagraph"/>
        <w:numPr>
          <w:ilvl w:val="0"/>
          <w:numId w:val="2"/>
        </w:numPr>
        <w:spacing w:after="100"/>
      </w:pPr>
      <w:r>
        <w:rPr>
          <w:rFonts w:ascii="Arial" w:cs="Arial" w:eastAsia="Arial" w:hAnsi="Arial"/>
          <w:sz w:val="22"/>
          <w:szCs w:val="22"/>
        </w:rPr>
        <w:t xml:space="preserve">Build RAG pipeline prototype with sample threat data and test summary quality</w:t>
      </w:r>
    </w:p>
    <w:p>
      <w:pPr>
        <w:pStyle w:val="ListParagraph"/>
        <w:numPr>
          <w:ilvl w:val="0"/>
          <w:numId w:val="2"/>
        </w:numPr>
        <w:spacing w:after="100"/>
      </w:pPr>
      <w:r>
        <w:rPr>
          <w:rFonts w:ascii="Arial" w:cs="Arial" w:eastAsia="Arial" w:hAnsi="Arial"/>
          <w:sz w:val="22"/>
          <w:szCs w:val="22"/>
        </w:rPr>
        <w:t xml:space="preserve">Develop frontend prototype with attack tree visualization using sample Neo4j data</w:t>
      </w:r>
    </w:p>
    <w:p>
      <w:pPr>
        <w:pStyle w:val="ListParagraph"/>
        <w:numPr>
          <w:ilvl w:val="0"/>
          <w:numId w:val="2"/>
        </w:numPr>
        <w:spacing w:after="100"/>
      </w:pPr>
      <w:r>
        <w:rPr>
          <w:rFonts w:ascii="Arial" w:cs="Arial" w:eastAsia="Arial" w:hAnsi="Arial"/>
          <w:sz w:val="22"/>
          <w:szCs w:val="22"/>
        </w:rPr>
        <w:t xml:space="preserve">Security review: RBAC model, TLP enforcement, and MSSP tenant isolation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E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2026-03-04T16:40:39.741Z</dcterms:created>
  <dcterms:modified xsi:type="dcterms:W3CDTF">2026-03-04T16:40:39.743Z</dcterms:modified>
</cp:coreProperties>
</file>

<file path=docProps/custom.xml><?xml version="1.0" encoding="utf-8"?>
<Properties xmlns="http://schemas.openxmlformats.org/officeDocument/2006/custom-properties" xmlns:vt="http://schemas.openxmlformats.org/officeDocument/2006/docPropsVTypes"/>
</file>