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spacing w:after="60"/>
        <w:jc w:val="left"/>
      </w:pPr>
      <w:r>
        <w:rPr>
          <w:rFonts w:ascii="Arial" w:cs="Arial" w:eastAsia="Arial" w:hAnsi="Arial"/>
          <w:b/>
          <w:bCs/>
          <w:color w:val="0A0E1A"/>
          <w:sz w:val="56"/>
          <w:szCs w:val="56"/>
        </w:rPr>
        <w:t xml:space="preserve">Threat Intel Hub</w:t>
      </w:r>
    </w:p>
    <w:p>
      <w:pPr>
        <w:spacing w:after="40"/>
        <w:jc w:val="left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Complete Build Specification</w:t>
      </w:r>
    </w:p>
    <w:p>
      <w:pPr>
        <w:spacing w:after="40"/>
        <w:jc w:val="left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Architecture • Data Models • APIs • Tech Stack • Deployment</w:t>
      </w:r>
    </w:p>
    <w:p>
      <w:pPr>
        <w:pBdr>
          <w:bottom w:val="single" w:color="00D4AA" w:sz="6" w:space="1"/>
        </w:pBdr>
        <w:spacing w:after="300"/>
      </w:pPr>
    </w:p>
    <w:p>
      <w:pPr>
        <w:spacing w:after="160" w:line="30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Version 1.0  |  March 2026  |  Greenfield Build</w:t>
      </w:r>
    </w:p>
    <w:p>
      <w:pPr>
        <w:spacing w:after="160" w:line="30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Classification: Internal / Confidential</w:t>
      </w:r>
    </w:p>
    <w:p>
      <w:pPr>
        <w:spacing w:after="160" w:line="30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Audiences: SOC Analysts, CISO/Executive, MSSP Clients, SOAR Playbooks</w:t>
      </w:r>
    </w:p>
    <w:p>
      <w:pPr>
        <w:spacing w:after="600"/>
      </w:pPr>
    </w:p>
    <w:p>
      <w:pPr>
        <w:spacing w:after="160" w:line="30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Prepared for: Threat Intel Hub Development Team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Executive Summary</w:t>
      </w:r>
    </w:p>
    <w:p>
      <w:pPr>
        <w:spacing w:after="160" w:line="3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Threat Intel Hub is a greenfield cyber threat intelligence (CTI) platform that aggregates, normalizes, enriches, correlates, and delivers actionable intelligence in real-time. It transforms raw threat data from dozens of sources into structured, searchable, and visualizable intelligence products tailored for four distinct audiences.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166534" w:sz="12"/>
              <w:bottom w:val="single" w:color="CBD5E1" w:sz="1"/>
              <w:right w:val="single" w:color="CBD5E1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Platform Vision</w:t>
            </w:r>
          </w:p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Ingest everything. Correlate automatically. Deliver intelligently. Make threat intelligence accessible to every stakeholder — from SOC analysts needing IOCs to board members needing risk summaries.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Target Audiences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Get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SOC Analysts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Real-time IOC feeds, detection rules (YARA/Sigma), MITRE ATT&amp;CK mapping, interactive attack trees, technical summaries with remediation steps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CISO / Executive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Risk-level dashboards, business-impact executive summaries, campaign timelines, sector threat landscape, board-ready PDF reports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MSSP Clients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Tenant-isolated intelligence feeds, custom alerting thresholds, branded report generation, API access for integration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SOAR Playbooks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REST API + webhooks delivering structured STIX 2.1 bundles, automated enrichment responses, IOC push to blocking lists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Key Capabilities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Real-time ingestion from RSS feeds, MITRE ATT&amp;CK/D3FEND, Abuse.ch, STIX/TAXII servers, and 10+ additional CTI sources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Automatic IOC deduplication with sighting count tracking and temporal decay scoring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Campaign-to-IOC-to-TTP correlation via graph database with sub-second traversal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RAG-powered AI engine generating audience-specific summaries (executive vs. technical)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Interactive attack tree / mind map visualization with drill-down from campaign to IOC level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Natural language search (“Show all APT37 campaigns targeting finance”)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SOAR integration via REST API and webhooks (Cortex XSOAR, Splunk SOAR, TheHive)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STIX 2.1 / TAXII 2.1 export for downstream sharing</w:t>
      </w:r>
    </w:p>
    <w:p>
      <w:pPr>
        <w:spacing w:after="100"/>
      </w:pPr>
    </w:p>
    <w:p>
      <w:pPr>
        <w:pageBreakBefore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t xml:space="preserve">Architecture Overview</w:t>
      </w:r>
    </w:p>
    <w:p>
      <w:pPr>
        <w:spacing w:after="160" w:line="3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system follows a five-layer pipeline architecture. Each layer is independently scalable and communicates via Apache Kafka as the central event bus. The layers are: Ingest, Process, Store, Analyze, and Deliver.</w:t>
      </w:r>
    </w:p>
    <w:p>
      <w:pPr>
        <w:spacing w:after="100"/>
      </w:pPr>
    </w:p>
    <w:p>
      <w:pPr>
        <w:pStyle w:val="Heading2"/>
      </w:pPr>
      <w:r>
        <w:t xml:space="preserve">Data Flow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01 — Ingest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Pull data from all configured sources, wrap in preliminary STIX 2.1 envelopes, publish to Kafka topics. Each source type has a dedicated connector microservice.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02 — Process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Consume from Kafka, normalize to STIX 2.1, deduplicate, enrich (GeoIP, WHOIS, passive DNS, reputation), correlate IOCs to campaigns/TTPs, map to Kill Chain.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03 — Store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Write to PostgreSQL (structured data), Neo4j (relationships), OpenSearch (full-text), pgvector (embeddings), Redis (cache).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04 — Analyze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RAG pipeline retrieves relevant context, LLM generates audience-specific summaries, threat scenario builder auto-creates attack narratives.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05 — Deliver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Dashboard, graph visualization, PDF/DOCX reports, REST API, SOAR webhooks, STIX/TAXII export server.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System Context Diagram</w:t>
      </w:r>
    </w:p>
    <w:p>
      <w:pPr>
        <w:spacing w:after="160" w:line="3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External actors that interact with the platform: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Interaction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RSS/ATOM Feeds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External Data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Polled by ingestion connectors at configurable intervals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MITRE ATT&amp;CK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External Data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STIX bundle pulled from official ATT&amp;CK repository (daily sync)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Abuse.ch APIs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External Data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URLhaus, MalwareBazaar, ThreatFox, SSL Blacklist — delta polling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STIX/TAXII Servers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External Data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AlienVault OTX, CIRCL MISP, sector ISACs — standard TAXII client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Additional CTI APIs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External Data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VirusTotal, Shodan, GreyNoise, CISA KEV, NVD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SOC Analyst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Human User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Web dashboard, search, graph explorer, report generation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CISO / Executive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Human User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Executive dashboard, summary reports, PDF export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MSSP Client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Human User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Tenant-scoped dashboard and API access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SOAR Platform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System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REST API consumer, webhook receiver (XSOAR, Splunk SOAR, TheHive)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Claude API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External Service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LLM inference for RAG-powered summary generation</w:t>
            </w:r>
          </w:p>
        </w:tc>
      </w:tr>
    </w:tbl>
    <w:p>
      <w:pPr>
        <w:spacing w:after="100"/>
      </w:pPr>
    </w:p>
    <w:p>
      <w:pPr>
        <w:pageBreakBefore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t xml:space="preserve">Data Ingestion Specifications</w:t>
      </w:r>
    </w:p>
    <w:p>
      <w:pPr>
        <w:spacing w:after="160" w:line="3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Each data source is handled by a dedicated connector microservice. Connectors are Python async services that poll their source, normalize the output to a STIX 2.1 envelope, and publish to Kafka.</w:t>
      </w:r>
    </w:p>
    <w:p>
      <w:pPr>
        <w:spacing w:after="100"/>
      </w:pPr>
    </w:p>
    <w:p>
      <w:pPr>
        <w:pStyle w:val="Heading2"/>
      </w:pPr>
      <w:r>
        <w:t xml:space="preserve">Source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Refresh Rate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Format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RSS/ATOM Feeds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HTTP GET + feed parser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5–15 min (configurable)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XML → STIX 2.1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MITRE ATT&amp;CK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STIX bundle download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Daily at 02:00 UTC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STIX 2.1 native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MITRE D3FEND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JSON-LD API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Daily at 02:00 UTC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JSON-LD → STIX 2.1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Abuse.ch URLhaus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REST API + CSV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15 min delta poll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CSV → STIX 2.1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Abuse.ch MalwareBazaar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REST API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15 min delta poll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JSON → STIX 2.1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Abuse.ch ThreatFox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REST API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15 min delta poll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JSON → STIX 2.1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AlienVault OTX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TAXII 2.1 Client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30 min poll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STIX 2.1 native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CIRCL MISP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MISP API / TAXII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30 min poll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MISP JSON → STIX 2.1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VirusTotal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REST API v3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On-demand enrichment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JSON → STIX 2.1 extension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Shodan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REST API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On-demand enrichment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JSON → STIX 2.1 extension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GreyNoise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REST API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On-demand enrichment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JSON → STIX 2.1 extension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CISA KEV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JSON download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Daily at 06:00 UTC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JSON → STIX 2.1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NVD (CVE)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REST API 2.0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Hourly delta poll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JSON → STIX 2.1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Kafka Topic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Partitions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raw.rss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4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Raw RSS/ATOM entries before normalization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raw.mitre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MITRE ATT&amp;CK/D3FEND STIX bundles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raw.abusech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4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Abuse.ch feed data (URLhaus, MalwareBazaar, ThreatFox)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raw.taxii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4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STIX objects from TAXII servers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raw.enrichment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4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On-demand enrichment requests (VT, Shodan, GreyNoise)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normalized.stix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8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All data normalized to STIX 2.1 — main processing topic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enriched.stix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8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Enriched STIX objects ready for storage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events.high-severity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4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High-severity IOCs triggering auto-summary and SOAR alerts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events.new-campaign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Newly detected campaign correlation events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dlq.*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 each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Dead letter queues for each topic (failed processing)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92400E" w:sz="12"/>
              <w:bottom w:val="single" w:color="CBD5E1" w:sz="1"/>
              <w:right w:val="single" w:color="CBD5E1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Design Decision: Why Kafka?</w:t>
            </w:r>
          </w:p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Kafka provides durable, replayable event streams. If an enrichment service crashes, no data is lost — it replays from the last committed offset on restart. This is critical for a CTI platform where missing a single IOC could mean a missed detection.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Ingestion Processing Pipeline</w:t>
      </w:r>
    </w:p>
    <w:p>
      <w:pPr>
        <w:spacing w:after="160" w:line="3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Each message flows through five sequential processing stages, implemented as separate Kafka consumer groups:</w:t>
      </w:r>
    </w:p>
    <w:p>
      <w:pPr>
        <w:spacing w:after="8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Stage 1 — Normalization: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Validates against STIX 2.1 JSON schema. Non-STIX sources are transformed via source-specific adapters (e.g., RSS XML to STIX Indicator). Every object gets a confidence score based on source reliability rating (A=90, B=75, C=60, D=40, E=20, F=10) and data freshness (decays 5% per week).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Stage 2 — Deduplication: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Exact match on SHA-256 hash for file indicators. Fuzzy URL matching using normalized domain + path. IP addresses matched with CIDR awareness. Duplicates increment sighting_count and update last_seen rather than creating new records.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Stage 3 — Enrichment: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Cross-references each IOC against MITRE ATT&amp;CK (TTP mapping), passive DNS (via CIRCL pDNS), WHOIS records, GeoIP (MaxMind), and reputation services. Results stored as STIX extensions in the enrichment JSONB column.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Stage 4 — Correlation: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Links IOCs to campaigns and APT groups using shared infrastructure patterns, overlapping TTPs, temporal clustering, and LLM-assisted relationship inference. Creates STIX Relationship objects stored as Neo4j edges.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Stage 5 — Kill Chain Mapping: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Auto-maps artifacts to Cyber Kill Chain phases and Diamond Model vertices based on IOC type, associated TTPs, and contextual indicators.</w:t>
      </w:r>
    </w:p>
    <w:p>
      <w:pPr>
        <w:spacing w:after="100"/>
      </w:pPr>
    </w:p>
    <w:p>
      <w:pPr>
        <w:pageBreakBefore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t xml:space="preserve">Data Model</w:t>
      </w:r>
    </w:p>
    <w:p>
      <w:pPr>
        <w:spacing w:after="160" w:line="3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platform uses a polyglot persistence strategy with five storage engines, each optimized for its specific access pattern.</w:t>
      </w:r>
    </w:p>
    <w:p>
      <w:pPr>
        <w:spacing w:after="100"/>
      </w:pPr>
    </w:p>
    <w:p>
      <w:pPr>
        <w:pStyle w:val="Heading2"/>
      </w:pPr>
      <w:r>
        <w:t xml:space="preserve">Storage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Configuration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PostgreSQL 16 + pgvector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Primary relational store + vector embeddings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Partitioned indicators table, HNSW index on embeddings, full-text search via tsvector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Neo4j 5.x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Graph database for STIX relationships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Causal clustering for read replicas, full-text indexes, APOC plugin for advanced queries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OpenSearch 2.x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Full-text search and analytics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Real-time indexing from Kafka, faceted search, fuzzy matching, aggregation dashboards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Redis 7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Caching and lightweight queuing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Hot IOC cache (top 10K, 15-min TTL), session store, rate limiter, feed health monitoring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PostgreSQL Schema — Entity Tables</w:t>
      </w:r>
    </w:p>
    <w:p>
      <w:pPr>
        <w:spacing w:after="160" w:line="3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relational layer contains 12 tables organized in three categories: core entities, junction tables for M:N relationships, and AI/support tables.</w:t>
      </w:r>
    </w:p>
    <w:p>
      <w:pPr>
        <w:spacing w:after="100"/>
      </w:pPr>
    </w:p>
    <w:p>
      <w:pPr>
        <w:pStyle w:val="Heading3"/>
      </w:pPr>
      <w:r>
        <w:t xml:space="preserve">Core Entity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indicators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id, stix_id, type (enum), value, confidence (0-100), tlp, severity, first_seen, last_seen, sighting_count, source_id, enrichment (JSONB), raw_data (JSONB), search_vector (tsvector)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Partitioned by quarter on first_seen. Upsert function increments sighting_count on duplicate. Generated tsvector column for full-text search. GIN index on enrichment JSONB.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threat_actors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id, stix_id, name, aliases (text[]), country_of_origin, motivation, sophistication (enum), mitre_id, external_refs (JSONB)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GIN index on aliases array for alias-based lookups. Sophistication uses 7-level enum matching STIX vocabulary.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campaigns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id, stix_id, name, threat_actor_id (FK), target_sectors (text[]), target_countries (text[]), start_date, end_date, confidence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GIN index on target_sectors for sector-based filtering. FK to threat_actors with ON DELETE SET NULL.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techniques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id, stix_id, mitre_id (unique), name, tactic, kill_chain_phase, platform (text[]), detection, is_subtechnique, parent_technique_id (self-FK)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Self-referential FK supports sub-technique hierarchy (e.g., T1566.001 under T1566). Indexes on mitre_id, tactic, and kill_chain_phase.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software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id, stix_id, mitre_id, name, type (malware|tool), aliases (text[]), platform (text[])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Type enum distinguishes malware from legitimate tools used by adversaries.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vulnerabilities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id, stix_id, cve_id (unique), cvss_v3_score, severity (enum), affected_products (text[]), is_kev (bool), kev_due_date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is_kev flag tracks CISA Known Exploited Vulnerabilities. Partial index on is_kev=TRUE for fast KEV queries.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detection_rules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id, name, type (yara|sigma|snort|suricata|custom), content (text), severity, tags (text[])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Stores the actual rule content for display and export.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mitigations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id, stix_id, mitre_id, name, description, type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Maps to both ATT&amp;CK Mitigations and D3FEND countermeasures.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feed_sources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id, name, type (enum), url, poll_interval, status (enum), reliability (A-F), error_count, last_error, config (JSONB)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NATO Admiral Reliability Rating used for confidence scoring. JSONB config stores source-specific settings.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Junction Tables (M:N Relationships)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Extra Columns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campaign_indicators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campaigns ↔ indicators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confidence, mapped_by (auto|manual|llm), added_at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indicator_techniques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indicators ↔ techniques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confidence, mapped_by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actor_software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threat_actors ↔ software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first_seen, last_seen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actor_techniques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threat_actors ↔ techniques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use_description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software_techniques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software ↔ techniques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(composite PK only)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technique_vulnerabilities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techniques ↔ vulnerabilities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(composite PK only)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technique_mitigations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techniques ↔ mitigations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description (how it applies)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indicator_detections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indicators ↔ detection_rules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(composite PK only)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AI and Support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embeddings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id, entity_type, entity_id, chunk_index, chunk_text, embedding (vector(384)), model_name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pgvector with HNSW index (m=16, ef_construction=64). 384-dim vectors for all-MiniLM-L6-v2. Polymorphic entity_type + entity_id pattern.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summaries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id, entity_type, entity_id, audience (executive|technical|soar|mssp), content, llm_model, rag_sources (JSONB), is_current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Unique constraint on (entity_type, entity_id, audience) WHERE is_current=TRUE ensures one active summary per entity per audience.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users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id, email (unique), name, password_hash, role (admin|analyst|viewer|api_consumer|mssp_client), tenant_id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RBAC with 5 roles. tenant_id enables MSSP multi-tenancy isolation.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api_keys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id, user_id (FK), key_hash (bcrypt), scopes (text[]), rate_limit, expires_at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Scoped API keys for SOAR/MSSP integration. Never stores raw keys.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audit_log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id (bigserial), user_id, action, entity_type, entity_id, details (JSONB), ip_address, created_at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Immutable append-only log. No UPDATE or DELETE permitted.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Key PostgreSQL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upsert_indicator(stix_id, type, value, confidence, tlp, source_id, source_name, raw_data)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Inserts new IOC or increments sighting_count on conflict. Updates last_seen and takes the higher confidence score. Returns the indicator UUID.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search_embeddings(query_embedding, match_count, similarity_threshold)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Performs cosine similarity search against pgvector HNSW index. Returns entity_type, entity_id, chunk_text, and similarity score. Default threshold: 0.7.</w:t>
            </w:r>
          </w:p>
        </w:tc>
      </w:tr>
    </w:tbl>
    <w:p>
      <w:pPr>
        <w:spacing w:after="100"/>
      </w:pPr>
    </w:p>
    <w:p>
      <w:pPr>
        <w:pageBreakBefore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t xml:space="preserve">Neo4j Graph Schema</w:t>
      </w:r>
    </w:p>
    <w:p>
      <w:pPr>
        <w:spacing w:after="160" w:line="3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graph layer mirrors STIX 2.1 Relationship Objects (SROs) as native Neo4j edges, enabling sub-second multi-hop traversal queries that power the attack tree visualization.</w:t>
      </w:r>
    </w:p>
    <w:p>
      <w:pPr>
        <w:spacing w:after="100"/>
      </w:pPr>
    </w:p>
    <w:p>
      <w:pPr>
        <w:pStyle w:val="Heading3"/>
      </w:pPr>
      <w:r>
        <w:t xml:space="preserve">Node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 Label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Properties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Unique Constraint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ThreatActor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stix_id, name, mitre_id, aliases, country_of_origin, motivation, sophistication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stix_id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Campaign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stix_id, name, description, start_date, end_date, status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stix_id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Technique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stix_id, mitre_id, name, tactic, kill_chain_phase, description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mitre_id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Software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stix_id, mitre_id, name, type, description, platform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stix_id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Indicator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stix_id, type, value, confidence, tlp, first_seen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stix_id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Vulnerability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stix_id, cve_id, cvss_score, severity, is_kev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cve_id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Mitigation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stix_id, mitre_id, name, description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stix_id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DetectionRule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rule_id, name, type, description, severity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rule_id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KillChainPhase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name, order, model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name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Identity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name, type (sector)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name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Relationship Types (Edges)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 → To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Properties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ATTRIBUTED_TO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Campaign → ThreatActor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confidence (0-100)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USES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ThreatActor → Software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first_seen, last_seen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EMPLOYS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ThreatActor|Campaign → Technique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(none or use_description)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IMPLEMENTS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Software → Technique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(none)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INDICATES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Indicator → Technique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confidence (0-100)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PART_OF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Indicator → Campaign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confidence (0-100)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TARGETS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Technique → Vulnerability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(none)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TARGETS_SECTOR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Campaign → Identity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(none)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PHASE_OF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Technique → KillChainPhase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(none)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MITIGATES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Mitigation → Technique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(none)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DETECTS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DetectionRule → Indicator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(none)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Key Neo4j Query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Cypher Pattern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Full attack tree for APT group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MATCH path = (ta:ThreatActor {name: $name})-[*1..4]-(connected) RETURN path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All TTPs with Kill Chain mapping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MATCH (ta:ThreatActor)-[:EMPLOYS]-&gt;(t:Technique)-[:PHASE_OF]-&gt;(kc:KillChainPhase) RETURN t, kc ORDER BY kc.order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IOCs linked to a campaign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MATCH (c:Campaign {name: $name})&lt;-[:PART_OF]-(i:Indicator) RETURN i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Trace IOC to APT group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MATCH (i:Indicator {value: $value})-[:INDICATES]-&gt;(t)&lt;-[:EMPLOYS]-(ta:ThreatActor) RETURN i, t, ta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Sector impact analysis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MATCH (ta:ThreatActor)&lt;-[:ATTRIBUTED_TO]-(c:Campaign)-[:TARGETS_SECTOR]-&gt;(id:Identity) RETURN c, collect(id.name)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Mitigations for an APT’s TTPs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MATCH (ta:ThreatActor)-[:EMPLOYS]-&gt;(t:Technique)&lt;-[:MITIGATES]-(m:Mitigation) RETURN t, m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Kill chain coverage analysis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MATCH (ta:ThreatActor)-[:EMPLOYS]-&gt;(t)-[:PHASE_OF]-&gt;(kc) WITH kc, collect(t) AS techniques RETURN kc, techniques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Depth-limited subgraph (API)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MATCH path = (start {stix_id: $id})-[*1..$depth]-(n) RETURN nodes(path), relationships(path)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6B21A8" w:sz="12"/>
              <w:bottom w:val="single" w:color="CBD5E1" w:sz="1"/>
              <w:right w:val="single" w:color="CBD5E1" w:sz="1"/>
            </w:tcBorders>
            <w:shd w:fill="FAF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Sync Strategy</w:t>
            </w:r>
          </w:p>
          <w:p>
            <w:r>
              <w:rPr>
                <w:rFonts w:ascii="Arial" w:cs="Arial" w:eastAsia="Arial" w:hAnsi="Arial"/>
                <w:color w:val="6B21A8"/>
                <w:sz w:val="20"/>
                <w:szCs w:val="20"/>
              </w:rPr>
              <w:t xml:space="preserve">PostgreSQL is the source of truth. A Change Data Capture (CDC) process using Debezium watches PostgreSQL WAL and pushes changes to Kafka, which are then consumed by a Neo4j writer service. This ensures eventual consistency between the relational and graph layers without tight coupling.</w:t>
            </w:r>
          </w:p>
        </w:tc>
      </w:tr>
    </w:tbl>
    <w:p>
      <w:pPr>
        <w:spacing w:after="100"/>
      </w:pPr>
    </w:p>
    <w:p>
      <w:pPr>
        <w:pageBreakBefore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t xml:space="preserve">AI and Intelligence Engine</w:t>
      </w:r>
    </w:p>
    <w:p>
      <w:pPr>
        <w:spacing w:after="160" w:line="3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intelligence engine uses Retrieval-Augmented Generation (RAG) to ground LLM outputs in the platform’s own CTI corpus, preventing hallucination and ensuring generated content references actual threat data.</w:t>
      </w:r>
    </w:p>
    <w:p>
      <w:pPr>
        <w:spacing w:after="100"/>
      </w:pPr>
    </w:p>
    <w:p>
      <w:pPr>
        <w:pStyle w:val="Heading2"/>
      </w:pPr>
      <w:r>
        <w:t xml:space="preserve">RAG Pipeline Architecture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Step 1 — Embedding: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When a new entity is created or updated, its description, enrichment data, and associated context are chunked (512 token max, 50 token overlap) and embedded using sentence-transformers all-MiniLM-L6-v2 (384 dimensions). Embeddings are stored in pgvector.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Step 2 — Retrieval: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User query (or system trigger) is embedded with the same model. A cosine similarity search against pgvector returns top-k (default: 10) matching chunks above the 0.7 similarity threshold. Full entity context is then fetched from PostgreSQL and relationship context from Neo4j.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Step 3 — Context Assembly: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Retrieved chunks are assembled into a structured context window: entity metadata from Postgres, relationship graph from Neo4j (1-hop neighbors), and the raw chunk text. Total context is capped at 8,000 tokens.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Step 4 — Generation: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The assembled context + a audience-specific system prompt is sent to the LLM (Claude API for cloud, Mistral 7B for air-gapped). Response is parsed, stored in the summaries table, and indexed in OpenSearch.</w:t>
      </w:r>
    </w:p>
    <w:p>
      <w:pPr>
        <w:spacing w:after="200"/>
      </w:pPr>
    </w:p>
    <w:p>
      <w:pPr>
        <w:pStyle w:val="Heading2"/>
      </w:pPr>
      <w:r>
        <w:t xml:space="preserve">Summary Generation Prompts</w:t>
      </w:r>
    </w:p>
    <w:p>
      <w:pPr>
        <w:pStyle w:val="Heading3"/>
      </w:pPr>
      <w:r>
        <w:t xml:space="preserve">Executive Summary Prompt Template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System: You are a CTI analyst briefing a CISO. Write in non-technical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language. Focus on: business impact, affected sectors, risk severity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(Critical/High/Medium/Low), recommended strategic actions, and estimated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remediation timeline. Never include raw IOCs or MITRE technique IDs.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Keep under 300 words. Structure: Threat Overview, Impact, Recommendation.</w:t>
      </w:r>
    </w:p>
    <w:p>
      <w:pPr>
        <w:spacing w:after="100"/>
      </w:pPr>
    </w:p>
    <w:p>
      <w:pPr>
        <w:pStyle w:val="Heading3"/>
      </w:pPr>
      <w:r>
        <w:t xml:space="preserve">Technical Summary Prompt Template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System: You are a CTI analyst briefing a SOC team. Include: specific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IOCs (hashes, IPs, domains, URLs), mapped MITRE ATT&amp;CK techniques with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IDs, YARA/Sigma detection rule suggestions, remediation playbook steps,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and links to related campaigns. Use technical terminology. Structure: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Executive TL;DR (2 sentences), IOCs, TTPs, Detection, Remediation.</w:t>
      </w:r>
    </w:p>
    <w:p>
      <w:pPr>
        <w:spacing w:after="200"/>
      </w:pPr>
    </w:p>
    <w:p>
      <w:pPr>
        <w:pStyle w:val="Heading2"/>
      </w:pPr>
      <w:r>
        <w:t xml:space="preserve">LLM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Cloud Deployment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Air-Gapped Deployment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Model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Claude API (claude-sonnet-4-20250514)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Mistral 7B Instruct (self-hosted)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Max tokens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1,000 (exec) / 2,000 (technical)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1,000 / 2,000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0.3 (factual output)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0.3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RAG context limit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8,000 tokens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4,000 tokens (smaller context window)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Rate limit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50 requests/min (API tier dependent)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Hardware dependent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Fallback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Cached previous summary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Cached previous summary</w:t>
            </w:r>
          </w:p>
        </w:tc>
      </w:tr>
    </w:tbl>
    <w:p>
      <w:pPr>
        <w:spacing w:after="100"/>
      </w:pPr>
    </w:p>
    <w:p>
      <w:pPr>
        <w:pageBreakBefore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t xml:space="preserve">API Specifications</w:t>
      </w:r>
    </w:p>
    <w:p>
      <w:pPr>
        <w:spacing w:after="160" w:line="3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platform exposes a RESTful API built with FastAPI (Python). All endpoints require authentication via JWT or API key. Responses follow a consistent envelope format.</w:t>
      </w:r>
    </w:p>
    <w:p>
      <w:pPr>
        <w:spacing w:after="100"/>
      </w:pPr>
    </w:p>
    <w:p>
      <w:pPr>
        <w:pStyle w:val="Heading2"/>
      </w:pPr>
      <w:r>
        <w:t xml:space="preserve">Authentication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JWT (Web Users):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OAuth 2.0 / OIDC flow. Access token in Authorization: Bearer header. 15-minute expiry with refresh token rotation.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API Key (SOAR/MSSP):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X-API-Key header. Scoped permissions (read:indicators, read:campaigns, write:enrichment, etc.). Rate limited per key (default: 1,000 req/hr).</w:t>
      </w:r>
    </w:p>
    <w:p>
      <w:pPr>
        <w:spacing w:after="200"/>
      </w:pPr>
    </w:p>
    <w:p>
      <w:pPr>
        <w:pStyle w:val="Heading2"/>
      </w:pPr>
      <w:r>
        <w:t xml:space="preserve">Core API Endpoints</w:t>
      </w:r>
    </w:p>
    <w:p>
      <w:pPr>
        <w:pStyle w:val="Heading3"/>
      </w:pPr>
      <w:r>
        <w:t xml:space="preserve">Indicators (IOCs)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Scope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/api/v1/indicators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List/search IOCs with filters (type, source, confidence, date range, TLP)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read:indicators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/api/v1/indicators/{id}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 single IOC with enrichment data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read:indicators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/api/v1/indicators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Submit new IOC (triggers enrichment pipeline)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write:indicators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/api/v1/indicators/{id}/graph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 Neo4j subgraph (TTPs, campaigns, actor)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read:indicators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/api/v1/indicators/search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Full-text search with natural language support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read:indicators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/api/v1/indicators/bulk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Bulk IOC submission (STIX 2.1 bundle)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write:indicators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Threat Actors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Scope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/api/v1/actors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List all threat actors with optional filters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read:actors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/api/v1/actors/{id}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 actor details with campaigns, software, TTPs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read:actors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/api/v1/actors/{id}/attack-tree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Full attack tree graph for visualization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read:actors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/api/v1/actors/{id}/kill-chain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Kill chain coverage analysis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read:actors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Campaigns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Scope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/api/v1/campaigns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List campaigns with sector/date/actor filters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read:campaigns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/api/v1/campaigns/{id}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Campaign details with linked IOCs and TTPs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read:campaigns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/api/v1/campaigns/{id}/timeline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Campaign timeline with event markers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read:campaigns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Intelligence / Summaries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Scope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/api/v1/intelligence/summary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Generate summary for entity (body: entity_type, entity_id, audience)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read:intelligence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/api/v1/intelligence/summary/{id}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Retrieve existing summary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read:intelligence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/api/v1/intelligence/search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Natural language search over all CTI data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read:intelligence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/api/v1/intelligence/scenario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Auto-generate attack scenario from correlated intel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read:intelligence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Graph Visualization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Scope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/api/v1/graph/subgraph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Depth-limited subgraph from any start node (params: stix_id, depth)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read:graph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/api/v1/graph/shortest-path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Shortest path between two nodes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read:graph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/api/v1/graph/neighbors/{stix_id}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Direct neighbors of a node (1-hop)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read:graph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Export /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Scope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/api/v1/export/stix/{entity_type}/{id}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Export entity as STIX 2.1 bundle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read:export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/api/v1/export/report/{entity_id}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Generate PDF/DOCX report (query param: format, audience)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read:export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/api/v1/webhooks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Register webhook for event notifications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admin:webhooks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/taxii2/collections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TAXII 2.1 discovery endpoint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read:taxii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/taxii2/collections/{id}/objects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TAXII 2.1 object retrieval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read:taxii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Response Envelope Format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"status": "success",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"data": { ... },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"meta": {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"total": 1234,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"page": 1,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"per_page": 50,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"request_id": "uuid"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100"/>
      </w:pPr>
    </w:p>
    <w:p>
      <w:pPr>
        <w:pageBreakBefore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t xml:space="preserve">Frontend and Visualization</w:t>
      </w:r>
    </w:p>
    <w:p>
      <w:pPr>
        <w:spacing w:after="160" w:line="3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frontend is a React 18 + TypeScript single-page application with D3.js / Cytoscape.js for graph visualization and Tailwind CSS for styling.</w:t>
      </w:r>
    </w:p>
    <w:p>
      <w:pPr>
        <w:spacing w:after="100"/>
      </w:pPr>
    </w:p>
    <w:p>
      <w:pPr>
        <w:pStyle w:val="Heading2"/>
      </w:pPr>
      <w:r>
        <w:t xml:space="preserve">Page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Dashboard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Real-time overview: IOC counts by type, severity heatmap, recent campaigns, feed health status, top threat actors (last 30 days). Auto-refreshes via WebSocket.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Threat Explorer (Graph)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Interactive force-directed graph. Click any node to expand neighbors. Filter by node type, severity, Kill Chain phase. Powered by Neo4j subgraph API.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IOC Search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Full-text + faceted search. Filters: type, TLP, source, date range, confidence. Results show enrichment data inline. Natural language mode calls LLM search endpoint.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Campaign View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Campaign detail page with timeline, linked IOCs, TTPs mapped to Kill Chain, sector impact, and generate-summary buttons.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Actor Profile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Threat actor page: aliases, campaigns, software, technique coverage (ATT&amp;CK Navigator heatmap), historical timeline.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Report Generator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Select entity + audience type. Preview generated summary. Export as PDF or DOCX. Bulk report generation for MSSP clients.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Feed Management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Admin page: add/edit/disable feed sources, view polling history, error logs, reliability rating adjustments.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Admin page: RBAC role assignment, API key generation, tenant management for MSSP.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Graph Visualization Specification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Library: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D3.js force-directed graph (primary) or Cytoscape.js (for complex layouts like hierarchical and concentric). Decision based on prototype performance testing.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Data Source: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Neo4j via GraphQL API. Depth-limited traversal (default: 2 hops, max: 4). Client-side caching of expanded nodes.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Node Styling: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Color-coded by type: ThreatActor=red, Campaign=amber, Technique=blue, Software=purple, Indicator=green, Vulnerability=red, KillChainPhase=amber, Mitigation=teal, DetectionRule=cyan. Size proportional to connection count.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Interactions: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Click to expand/collapse, right-click for context menu (generate summary, export STIX, copy IOC value), drag to reposition, scroll to zoom, double-click to focus.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Filters: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Toggle node types on/off, filter by severity, filter by Kill Chain phase, search within graph, time-range slider for temporal filtering.</w:t>
      </w:r>
    </w:p>
    <w:p>
      <w:pPr>
        <w:spacing w:after="100"/>
      </w:pPr>
    </w:p>
    <w:p>
      <w:pPr>
        <w:pageBreakBefore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t xml:space="preserve">Technology Stack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Event Bus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Apache Kafka 3.x + Schema Registry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Durable, replayable streams with schema validation. Dead letter queues for failed processing.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Ingestion Connectors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Python 3.12 + asyncio + aiohttp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Async for concurrent feed polling. Rich CTI library ecosystem (stix2, mitreattack-python, pymisp).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Async, auto-generated OpenAPI docs, Pydantic models for STIX validation, native async DB drivers.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Graph API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Strawberry GraphQL + Neo4j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Type-safe graph traversal queries. Pagination and depth limiting built in.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Relational DB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PostgreSQL 16 + pgvector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Battle-tested. pgvector keeps embeddings co-located with structured data. Partitioning for IOC time-series.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Graph DB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Neo4j 5.x Community/Enterprise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Native graph storage. Sub-second multi-hop traversals. APOC for advanced graph algorithms.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Search Engine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OpenSearch 2.x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Full-text + faceted search. Real-time indexing. Aggregation pipelines for dashboards. No vendor lock-in (vs. Elasticsearch).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Cache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Redis 7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In-memory hot IOC cache. Pub/Sub for real-time dashboard updates. Rate limiting with sliding window.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LLM (Cloud)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Claude API (Sonnet)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Best-in-class reasoning for CTI analysis. Structured output support. Prompt caching for cost reduction.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LLM (Air-gapped)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Mistral 7B Instruct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Self-hostable. Good instruction following. Runs on single GPU (16GB VRAM).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RAG Framework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LangChain + custom STIX retriever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Pluggable retriever architecture. Custom retriever fetches from pgvector + Neo4j context.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Embedding Model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sentence-transformers/all-MiniLM-L6-v2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384 dims. Fast inference. Good semantic similarity. Can fine-tune on CTI corpus later.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Frontend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React 18 + TypeScript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Component architecture. Strong typing. Massive ecosystem.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Graph Viz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D3.js + Cytoscape.js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D3 for custom force-directed layout. Cytoscape for pre-built graph algorithms and layouts.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CSS Framework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Tailwind CSS 3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Utility-first. Rapid prototyping. Consistent design system.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Docker + Docker Compose (demo) / Kubernetes (production)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Compose for single-node demo deployment. K8s for production horizontal scaling.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Nginx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SSL termination, rate limiting, static asset serving, WebSocket support.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Metrics collection + dashboarding. AlertManager for feed failures.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CI/CD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Automated testing, linting, Docker build, deployment.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Standards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STIX 2.1, TAXII 2.1, MITRE ATT&amp;CK v15, D3FEND, Cyber Kill Chain, Diamond Model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Industry-standard CTI formats for interoperability.</w:t>
            </w:r>
          </w:p>
        </w:tc>
      </w:tr>
    </w:tbl>
    <w:p>
      <w:pPr>
        <w:spacing w:after="100"/>
      </w:pPr>
    </w:p>
    <w:p>
      <w:pPr>
        <w:pageBreakBefore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t xml:space="preserve">Security Specifications</w:t>
      </w:r>
    </w:p>
    <w:p>
      <w:pPr>
        <w:spacing w:after="100"/>
      </w:pPr>
    </w:p>
    <w:p>
      <w:pPr>
        <w:pStyle w:val="Heading2"/>
      </w:pPr>
      <w:r>
        <w:t xml:space="preserve">Authentication and Authorization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SSO Integration: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OIDC/SAML 2.0 via Keycloak or Auth0. Supports Google Workspace, Azure AD, Okta as identity providers.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RBAC Model: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5 roles — Admin (full access), Analyst (read/write CTI + generate summaries), Viewer (read-only), API Consumer (scoped API access), MSSP Client (tenant-isolated read + API).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API Keys: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Bcrypt-hashed, scoped to specific permission sets (e.g., read:indicators, read:campaigns). Configurable rate limits and expiry dates. Key rotation support.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Session Management: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JWT access tokens (15-min expiry) + HTTP-only refresh tokens (7-day expiry). Redis-backed session store for revocation.</w:t>
      </w:r>
    </w:p>
    <w:p>
      <w:pPr>
        <w:spacing w:after="200"/>
      </w:pPr>
    </w:p>
    <w:p>
      <w:pPr>
        <w:pStyle w:val="Heading2"/>
      </w:pPr>
      <w:r>
        <w:t xml:space="preserve">Data Protection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TLP Enforcement: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Traffic Light Protocol tagging on all intelligence objects. TLP:RED restricted to admin and analyst roles. TLP:AMBER excluded from MSSP exports. Export controls enforce TLP compliance.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Multi-tenancy: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MSSP clients are isolated via tenant_id on all queries. Row-level security (RLS) policies in PostgreSQL enforce isolation. Separate Neo4j property filtering per tenant.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Encryption: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All data encrypted at rest (PostgreSQL: AES-256 via LUKS, Neo4j: native encryption). All inter-service communication over mTLS. External APIs behind TLS 1.3.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Audit Trail: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All user actions, API calls, and automated processes logged to immutable audit_log table with tamper-evident hashing. 90-day retention minimum.</w:t>
      </w:r>
    </w:p>
    <w:p>
      <w:pPr>
        <w:spacing w:after="200"/>
      </w:pPr>
    </w:p>
    <w:p>
      <w:pPr>
        <w:pStyle w:val="Heading2"/>
      </w:pPr>
      <w:r>
        <w:t xml:space="preserve">Network Security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Perimeter: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Nginx reverse proxy with WAF rules (ModSecurity / OWASP CRS). Rate limiting at API gateway level.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Internal: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All inter-service communication over mTLS. Kafka cluster in private network segment. Database ports not exposed externally.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DDoS: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Cloudflare or provider-level DDoS protection (Hostinger VPS includes Wanguard filtering). Application-level rate limiting via Redis sliding window.</w:t>
      </w:r>
    </w:p>
    <w:p>
      <w:pPr>
        <w:spacing w:after="100"/>
      </w:pPr>
    </w:p>
    <w:p>
      <w:pPr>
        <w:pageBreakBefore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t xml:space="preserve">Deployment Specifications</w:t>
      </w:r>
    </w:p>
    <w:p>
      <w:pPr>
        <w:spacing w:after="100"/>
      </w:pPr>
    </w:p>
    <w:p>
      <w:pPr>
        <w:pStyle w:val="Heading2"/>
      </w:pPr>
      <w:r>
        <w:t xml:space="preserve">Demo Deployment (Hostinger VPS)</w:t>
      </w:r>
    </w:p>
    <w:p>
      <w:pPr>
        <w:spacing w:after="160" w:line="3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demo deployment runs on a Hostinger KVM VPS using Docker Compose. The stack is simplified to fit single-node constraints.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Demo Version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Estimate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VPS Plan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Hostinger KVM 4 (4 vCPU, 16GB RAM, 200GB NVMe)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$13/month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API Server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FastAPI (1 worker)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~300MB RAM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PostgreSQL + pgvector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PostgreSQL 16 (single instance)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~1–2GB RAM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Neo4j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Neo4j 5.x Community (single instance)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~2–4GB RAM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Redis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Redis 7 (single instance)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~200MB RAM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OpenSearch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REPLACED: Use PostgreSQL tsvector for demo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Saves ~2GB RAM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Kafka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REPLACED: Use Redis Streams for demo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Saves ~2–4GB RAM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Frontend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React build served by Nginx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~100MB RAM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LLM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Claude API (no local model)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0 RAM (API calls)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Total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~5–8GB RAM (fits KVM 4 comfortably)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Production Deployment (Cloud)</w:t>
      </w:r>
    </w:p>
    <w:p>
      <w:pPr>
        <w:spacing w:after="160" w:line="3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Production deployment uses Kubernetes on AWS, GCP, or Azure. Each service runs as a separate deployment with horizontal pod autoscaling.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Production Version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Scaling Strategy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Kafka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Apache Kafka 3.x (3-node cluster)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Partition-based horizontal scaling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RDS PostgreSQL 16 or self-hosted with Patroni HA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Read replicas, table partitioning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Neo4j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Neo4j Enterprise (causal cluster: 1 leader + 2 readers)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Read replica scaling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OpenSearch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OpenSearch 2.x (3-node cluster)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Shard-based horizontal scaling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Redis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Redis Cluster (3 masters + 3 replicas)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Hash slot partitioning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API Server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FastAPI (4+ workers, HPA)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Horizontal pod autoscaler based on CPU/request latency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Ingestion Workers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Python async workers (1 per source type)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Scale by adding pods per source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Frontend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React SPA on CDN (CloudFront / Cloudflare)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Edge-cached, infinitely scalable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Prometheus + Grafana + AlertManager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Dedicated monitoring namespace</w:t>
            </w:r>
          </w:p>
        </w:tc>
      </w:tr>
    </w:tbl>
    <w:p>
      <w:pPr>
        <w:spacing w:after="100"/>
      </w:pPr>
    </w:p>
    <w:p>
      <w:pPr>
        <w:pageBreakBefore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t xml:space="preserve">Performance Targets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IOC Ingestion Rate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50,000+ IOCs/hour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Kafka consumer lag monitoring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Search Response Time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&lt; 500ms (p95)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OpenSearch / PostgreSQL query latency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Graph Traversal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&lt; 200ms for 2-hop, &lt; 1s for 4-hop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Neo4j query profiling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Summary Generation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&lt; 30 seconds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LLM API response time + RAG retrieval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Dashboard Load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&lt; 2 seconds initial, &lt; 500ms updates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Lighthouse + real user monitoring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API Response (simple)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&lt; 100ms (p95)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FastAPI middleware timing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API Response (complex)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&lt; 500ms (p95)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Includes DB + Neo4j + enrichment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System Uptime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99.9%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Prometheus uptime checks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Feed Freshness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&lt; 5 min lag from source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Feed polling monitor</w:t>
            </w:r>
          </w:p>
        </w:tc>
      </w:tr>
    </w:tbl>
    <w:p>
      <w:pPr>
        <w:spacing w:after="100"/>
      </w:pPr>
    </w:p>
    <w:p>
      <w:pPr>
        <w:pageBreakBefore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t xml:space="preserve">Implementation Roadmap</w:t>
      </w:r>
    </w:p>
    <w:p>
      <w:pPr>
        <w:spacing w:after="160" w:line="3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build is organized into 6 phases spanning approximately 16–20 weeks. Each phase produces a deployable increment.</w:t>
      </w:r>
    </w:p>
    <w:p>
      <w:pPr>
        <w:spacing w:after="100"/>
      </w:pPr>
    </w:p>
    <w:p>
      <w:pPr>
        <w:pStyle w:val="Heading2"/>
      </w:pPr>
      <w:r>
        <w:t xml:space="preserve">Phase 1: Foundation (Weeks 1–3)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Set up VPS with Docker Compose (PostgreSQL, Redis, Neo4j, Nginx)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Implement PostgreSQL schema (all tables, indexes, functions, partitions)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Implement Neo4j schema (constraints, indexes, static reference nodes)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Build FastAPI project scaffold with authentication (JWT + API key)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Set up CI/CD pipeline (GitHub Actions: lint, test, build, deploy)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Deliverable: Empty but fully functional infrastructure with health checks</w:t>
      </w:r>
    </w:p>
    <w:p>
      <w:pPr>
        <w:spacing w:after="100"/>
      </w:pPr>
    </w:p>
    <w:p>
      <w:pPr>
        <w:pStyle w:val="Heading2"/>
      </w:pPr>
      <w:r>
        <w:t xml:space="preserve">Phase 2: Ingestion MVP (Weeks 4–6)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Build RSS feed connector (with feed parser and STIX 2.1 adapter)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Build MITRE ATT&amp;CK connector (download STIX bundle, parse, store)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Build Abuse.ch connector (URLhaus + ThreatFox)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Implement normalization pipeline (STIX 2.1 validation + confidence scoring)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Implement deduplication logic (upsert_indicator function)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Implement PostgreSQL-to-Neo4j sync (CDC via polling or Debezium lite)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Deliverable: Data flowing from 3+ sources into both databases</w:t>
      </w:r>
    </w:p>
    <w:p>
      <w:pPr>
        <w:spacing w:after="100"/>
      </w:pPr>
    </w:p>
    <w:p>
      <w:pPr>
        <w:pStyle w:val="Heading2"/>
      </w:pPr>
      <w:r>
        <w:t xml:space="preserve">Phase 3: Enrichment and Correlation (Weeks 7–9)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Build enrichment pipeline (GeoIP, passive DNS, WHOIS, reputation scoring)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Implement campaign correlation engine (rule-based + LLM-assisted)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Implement Kill Chain auto-mapping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Add CISA KEV and NVD connectors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Add STIX/TAXII connector for AlienVault OTX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Deliverable: Enriched, correlated intelligence with campaign detection</w:t>
      </w:r>
    </w:p>
    <w:p>
      <w:pPr>
        <w:spacing w:after="100"/>
      </w:pPr>
    </w:p>
    <w:p>
      <w:pPr>
        <w:pStyle w:val="Heading2"/>
      </w:pPr>
      <w:r>
        <w:t xml:space="preserve">Phase 4: AI Engine (Weeks 10–12)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Build RAG pipeline (embedding generation, pgvector storage, retrieval)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Implement executive summary generation with Claude API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Implement technical summary generation with Claude API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Build natural language search (query embedding + OpenSearch hybrid)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Implement auto-summary triggers for high-severity campaigns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Deliverable: Working AI-powered summaries and NLP search</w:t>
      </w:r>
    </w:p>
    <w:p>
      <w:pPr>
        <w:spacing w:after="100"/>
      </w:pPr>
    </w:p>
    <w:p>
      <w:pPr>
        <w:pStyle w:val="Heading2"/>
      </w:pPr>
      <w:r>
        <w:t xml:space="preserve">Phase 5: Frontend and Visualization (Weeks 13–16)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Build React project scaffold with Tailwind CSS and routing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Implement dashboard page (real-time stats, severity heatmap, feed health)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Build interactive graph visualization (D3.js force-directed layout)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Implement IOC search page (full-text + faceted + natural language)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Build campaign view with timeline and generate-summary UI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Build report generator page (PDF/DOCX export with audience toggle)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Deliverable: Fully functional web application</w:t>
      </w:r>
    </w:p>
    <w:p>
      <w:pPr>
        <w:spacing w:after="100"/>
      </w:pPr>
    </w:p>
    <w:p>
      <w:pPr>
        <w:pStyle w:val="Heading2"/>
      </w:pPr>
      <w:r>
        <w:t xml:space="preserve">Phase 6: Integration and Hardening (Weeks 17–20)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Build SOAR integration (REST API endpoints + webhook system)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Implement STIX/TAXII 2.1 export server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Implement MSSP multi-tenancy (tenant isolation, scoped API keys)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Security hardening (penetration testing, RBAC audit, TLP enforcement)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Performance testing and optimization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Documentation (API docs, user guide, deployment guide)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Deliverable: Production-ready platform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166534" w:sz="12"/>
              <w:bottom w:val="single" w:color="CBD5E1" w:sz="1"/>
              <w:right w:val="single" w:color="CBD5E1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Quick Start</w:t>
            </w:r>
          </w:p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Phase 1 and 2 are the critical path. With the PostgreSQL and Neo4j schemas provided in this document, you can begin Phase 1 immediately. The FastAPI scaffold and first RSS connector can be built in parallel.</w:t>
            </w:r>
          </w:p>
        </w:tc>
      </w:tr>
    </w:tbl>
    <w:p>
      <w:pPr>
        <w:spacing w:after="100"/>
      </w:pPr>
    </w:p>
    <w:p>
      <w:pPr>
        <w:pageBreakBefore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t xml:space="preserve">Appendix: Deliverable Files</w:t>
      </w:r>
    </w:p>
    <w:p>
      <w:pPr>
        <w:spacing w:after="160" w:line="3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following files have been produced as part of this specification: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001_postgresql_schema.sql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Complete PostgreSQL DDL with all tables, indexes, partitions, functions, triggers, and pgvector setup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002_neo4j_schema.cypher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Complete Neo4j Cypher script with constraints, indexes, seed data (APT37 ecosystem), relationships, and 10 query templates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threat-intel-hub-architecture.jsx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Interactive React architecture diagram (5-layer pipeline with expandable layers)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threat-intel-hub-spec.docx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Earlier technical architecture spec document (superseded by this comprehensive build spec)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threat-intel-hub-build-spec.docx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This document — the complete build specification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A0E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2026-03-15T07:27:52.567Z</dcterms:created>
  <dcterms:modified xsi:type="dcterms:W3CDTF">2026-03-15T07:27:52.568Z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