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124D2" w14:textId="77777777" w:rsidR="00BD2796" w:rsidRDefault="00000000">
      <w:pPr>
        <w:jc w:val="center"/>
      </w:pPr>
      <w:r>
        <w:rPr>
          <w:rFonts w:ascii="Times New Roman" w:hAnsi="Times New Roman"/>
          <w:b/>
          <w:sz w:val="28"/>
        </w:rPr>
        <w:t>Clinical Decision Making and Pattern Recognition in Health Care:</w:t>
      </w:r>
      <w:r>
        <w:rPr>
          <w:rFonts w:ascii="Times New Roman" w:hAnsi="Times New Roman"/>
          <w:b/>
          <w:sz w:val="28"/>
        </w:rPr>
        <w:br/>
        <w:t>Chain Reasoning, Agentic Generative AI, Classification, Prediction,</w:t>
      </w:r>
      <w:r>
        <w:rPr>
          <w:rFonts w:ascii="Times New Roman" w:hAnsi="Times New Roman"/>
          <w:b/>
          <w:sz w:val="28"/>
        </w:rPr>
        <w:br/>
        <w:t>Inference, Clustering, and Time-Series Anomaly Detection</w:t>
      </w:r>
      <w:r>
        <w:rPr>
          <w:rFonts w:ascii="Times New Roman" w:hAnsi="Times New Roman"/>
          <w:b/>
          <w:sz w:val="28"/>
        </w:rPr>
        <w:br/>
        <w:t>for Treatment, Payment, and Operations (TPO)</w:t>
      </w:r>
    </w:p>
    <w:p w14:paraId="114E4709" w14:textId="1A8EC10E" w:rsidR="00BD2796" w:rsidRDefault="000B069A">
      <w:pPr>
        <w:jc w:val="center"/>
      </w:pPr>
      <w:r>
        <w:rPr>
          <w:rFonts w:ascii="Times New Roman" w:hAnsi="Times New Roman"/>
          <w:sz w:val="24"/>
        </w:rPr>
        <w:t>Ashmeet Singh Sandhu</w:t>
      </w:r>
      <w:r w:rsidR="00000000">
        <w:rPr>
          <w:rFonts w:ascii="Times New Roman" w:hAnsi="Times New Roman"/>
          <w:sz w:val="24"/>
        </w:rPr>
        <w:br/>
      </w:r>
      <w:r>
        <w:rPr>
          <w:rFonts w:ascii="Times New Roman" w:hAnsi="Times New Roman"/>
          <w:sz w:val="24"/>
        </w:rPr>
        <w:t xml:space="preserve">Indian Institute of Information Technology Una </w:t>
      </w:r>
      <w:r w:rsidR="00000000">
        <w:rPr>
          <w:rFonts w:ascii="Times New Roman" w:hAnsi="Times New Roman"/>
          <w:sz w:val="24"/>
        </w:rPr>
        <w:br/>
        <w:t>Cotiviti Intern Assessment – Topic #2</w:t>
      </w:r>
    </w:p>
    <w:p w14:paraId="0307E756" w14:textId="77777777" w:rsidR="00BD2796" w:rsidRDefault="00BD2796"/>
    <w:p w14:paraId="61427128" w14:textId="77777777" w:rsidR="00BD2796" w:rsidRDefault="00000000">
      <w:pPr>
        <w:pStyle w:val="Heading1"/>
      </w:pPr>
      <w:r>
        <w:rPr>
          <w:rFonts w:ascii="Times New Roman" w:hAnsi="Times New Roman"/>
          <w:color w:val="000000"/>
        </w:rPr>
        <w:t>Concept Definition</w:t>
      </w:r>
    </w:p>
    <w:p w14:paraId="4CFBFE19" w14:textId="77777777" w:rsidR="00BD2796" w:rsidRDefault="00000000">
      <w:pPr>
        <w:spacing w:after="120"/>
        <w:ind w:firstLine="720"/>
        <w:jc w:val="both"/>
      </w:pPr>
      <w:r>
        <w:rPr>
          <w:rFonts w:ascii="Times New Roman" w:hAnsi="Times New Roman"/>
          <w:sz w:val="24"/>
        </w:rPr>
        <w:t>The convergence of agentic generative artificial intelligence (AI) with classical pattern-recognition techniques is reshaping clinical decision support and healthcare payment integrity. Under the Health Insurance Portability and Accountability Act (HIPAA), the Treatment, Payment, and Operations (TPO) framework defines the three sanctioned pathways through which protected health information (PHI) may flow. Each pillar presents distinct challenges that modern AI is uniquely positioned to address. Treatment decisions benefit from predictive modeling of clinical risk; payment integrity requires fraud, waste, and abuse (FWA) detection through classification and anomaly detection; and operations demand cluster-based peer benchmarking to surface systemic inefficiencies (Centers for Medicare &amp; Medicaid Services, 2024).</w:t>
      </w:r>
    </w:p>
    <w:p w14:paraId="7A4FEB81" w14:textId="77777777" w:rsidR="00BD2796" w:rsidRDefault="00000000">
      <w:pPr>
        <w:spacing w:after="120"/>
        <w:ind w:firstLine="720"/>
        <w:jc w:val="both"/>
      </w:pPr>
      <w:r>
        <w:rPr>
          <w:rFonts w:ascii="Times New Roman" w:hAnsi="Times New Roman"/>
          <w:sz w:val="24"/>
        </w:rPr>
        <w:t>Six complementary techniques form the technical core of this domain. Classification algorithms — including gradient-boosted trees such as XGBoost — assign fraud probability scores to providers or claims. Inference via SHapley Additive exPlanations (SHAP) decomposes predictions into individual feature contributions, providing the explainability demanded by regulators and auditors (Lundberg &amp; Lee, 2017). Prediction models (regression) estimate expected reimbursement and length-of-stay, enabling outlier detection at the claim level. Clustering algorithms (e.g., KMeans) construct provider peer groups so that an individual provider's billing behavior can be compared against statistically similar cohorts. Time-series anomaly detection — combining seasonal-trend decomposition (STL), Isolation Forest, and rolling z-scores — flags months in which billing volume or amounts deviate anomalously from historical patterns. Finally, agentic generative AI ties these tools together: a large language model (LLM) orchestrates a chain-of-thought (CoT) reasoning loop (Wei et al., 2022), calling each ML tool in sequence and synthesizing a narrative recommendation (PAY / REVIEW / DENY / AUDIT) with cited evidence.</w:t>
      </w:r>
    </w:p>
    <w:p w14:paraId="670ABFAD" w14:textId="77777777" w:rsidR="00BD2796" w:rsidRDefault="00000000">
      <w:pPr>
        <w:pStyle w:val="Heading1"/>
      </w:pPr>
      <w:r>
        <w:rPr>
          <w:rFonts w:ascii="Times New Roman" w:hAnsi="Times New Roman"/>
          <w:color w:val="000000"/>
        </w:rPr>
        <w:lastRenderedPageBreak/>
        <w:t>Relevant Trends</w:t>
      </w:r>
    </w:p>
    <w:p w14:paraId="22684DF4" w14:textId="77777777" w:rsidR="00BD2796" w:rsidRDefault="00000000">
      <w:pPr>
        <w:spacing w:after="120"/>
        <w:ind w:firstLine="720"/>
        <w:jc w:val="both"/>
      </w:pPr>
      <w:r>
        <w:rPr>
          <w:rFonts w:ascii="Times New Roman" w:hAnsi="Times New Roman"/>
          <w:sz w:val="24"/>
        </w:rPr>
        <w:t>Three macro-trends are driving adoption of these techniques in healthcare. First, the rapid maturation of LLMs has enabled agentic architectures in which a language model acts as an orchestrator that selects and calls specialized tools rather than attempting to answer every question from parametric memory alone (OpenAI, 2024). This tool-use paradigm directly maps onto payment-integrity workflows, where a human investigator would traditionally run separate queries against classification scores, peer benchmarks, and billing timelines before forming a recommendation. Chain-of-thought prompting (Wei et al., 2022) and tree-of-thought exploration (Yao et al., 2023) further allow models to articulate intermediate reasoning steps — a critical requirement in regulated healthcare environments where every decision must be auditable.</w:t>
      </w:r>
    </w:p>
    <w:p w14:paraId="16835805" w14:textId="77777777" w:rsidR="00BD2796" w:rsidRDefault="00000000">
      <w:pPr>
        <w:spacing w:after="120"/>
        <w:ind w:firstLine="720"/>
        <w:jc w:val="both"/>
      </w:pPr>
      <w:r>
        <w:rPr>
          <w:rFonts w:ascii="Times New Roman" w:hAnsi="Times New Roman"/>
          <w:sz w:val="24"/>
        </w:rPr>
        <w:t>Second, explainability has moved from a research preference to a regulatory imperative. The U.S. Office of Inspector General and CMS require that automated payment-denials be accompanied by a human-readable explanation. SHAP values, which satisfy desirable mathematical axioms (efficiency, symmetry, and linearity), have emerged as the de facto standard for communicating feature-level attribution to non-technical stakeholders (Lundberg &amp; Lee, 2017; Molnar, 2022). Third, the volume of Medicare claims processed annually — exceeding one billion — makes manual review economically unscalable. Automated, real-time anomaly detection applied to provider-level time-series data can reduce false-positive audit referrals while catching coordinated billing spikes that evade static rules (Bauder et al., 2017).</w:t>
      </w:r>
    </w:p>
    <w:p w14:paraId="47D46B24" w14:textId="77777777" w:rsidR="00BD2796" w:rsidRDefault="00000000">
      <w:pPr>
        <w:pStyle w:val="Heading1"/>
      </w:pPr>
      <w:r>
        <w:rPr>
          <w:rFonts w:ascii="Times New Roman" w:hAnsi="Times New Roman"/>
          <w:color w:val="000000"/>
        </w:rPr>
        <w:t>Opportunities and Threats</w:t>
      </w:r>
    </w:p>
    <w:p w14:paraId="3B1F2E2D" w14:textId="77777777" w:rsidR="00BD2796" w:rsidRDefault="00000000">
      <w:pPr>
        <w:pStyle w:val="Heading2"/>
      </w:pPr>
      <w:r>
        <w:rPr>
          <w:rFonts w:ascii="Times New Roman" w:hAnsi="Times New Roman"/>
          <w:color w:val="000000"/>
        </w:rPr>
        <w:t>Opportunities</w:t>
      </w:r>
    </w:p>
    <w:p w14:paraId="363B55FB" w14:textId="77777777" w:rsidR="00BD2796" w:rsidRDefault="00000000">
      <w:pPr>
        <w:spacing w:after="120"/>
        <w:ind w:firstLine="720"/>
        <w:jc w:val="both"/>
      </w:pPr>
      <w:r>
        <w:rPr>
          <w:rFonts w:ascii="Times New Roman" w:hAnsi="Times New Roman"/>
          <w:sz w:val="24"/>
        </w:rPr>
        <w:t>For Cotiviti, the TPO AI landscape presents four high-value opportunities. (1) Agentic FWA triage: replacing rule-based pre-payment edits with an LLM-orchestrated classification + anomaly + peer-benchmark pipeline can increase recovery rates while reducing the administrative burden on human investigators. (2) Explainable audit narratives: SHAP-powered explanations can be automatically rendered into human-readable audit letters, reducing legal exposure and provider dispute rates. (3) Real-time billing surveillance: per-provider monthly time-series monitoring enables prospective intervention before claims are paid, shifting from retrospective recovery to pre-payment accuracy. (4) Peer-group benchmarking: unsupervised clustering surfaces providers whose billing patterns are statistically anomalous within their specialty or geography cohort, creating a scalable audit prioritization signal.</w:t>
      </w:r>
    </w:p>
    <w:p w14:paraId="1D5E4BA9" w14:textId="77777777" w:rsidR="00BD2796" w:rsidRDefault="00000000">
      <w:pPr>
        <w:pStyle w:val="Heading2"/>
      </w:pPr>
      <w:r>
        <w:rPr>
          <w:rFonts w:ascii="Times New Roman" w:hAnsi="Times New Roman"/>
          <w:color w:val="000000"/>
        </w:rPr>
        <w:t>Threats</w:t>
      </w:r>
    </w:p>
    <w:p w14:paraId="45896531" w14:textId="77777777" w:rsidR="00BD2796" w:rsidRDefault="00000000">
      <w:pPr>
        <w:spacing w:after="120"/>
        <w:ind w:firstLine="720"/>
        <w:jc w:val="both"/>
      </w:pPr>
      <w:r>
        <w:rPr>
          <w:rFonts w:ascii="Times New Roman" w:hAnsi="Times New Roman"/>
          <w:sz w:val="24"/>
        </w:rPr>
        <w:t xml:space="preserve">The primary threats are regulatory, technical, and ethical. LLM hallucination — the generation of plausible but factually incorrect statements — poses patient-safety and liability risks if AI-generated clinical recommendations are acted upon without human review (Doshi-Velez &amp; Kim, 2017). HIPAA compliance requires that PHI processed by LLM APIs is governed under a Business Associate Agreement (BAA), and many commercial API providers do not yet </w:t>
      </w:r>
      <w:r>
        <w:rPr>
          <w:rFonts w:ascii="Times New Roman" w:hAnsi="Times New Roman"/>
          <w:sz w:val="24"/>
        </w:rPr>
        <w:lastRenderedPageBreak/>
        <w:t>offer BAA-compatible endpoints by default. Model drift — deterioration in classifier performance as billing patterns shift in response to policy changes — demands continuous monitoring and retraining infrastructure. Finally, disparate impact in model predictions could disproportionately flag providers serving minority populations, creating reputational and legal risk (Brundage et al., 2018).</w:t>
      </w:r>
    </w:p>
    <w:p w14:paraId="42FBD7A0" w14:textId="77777777" w:rsidR="00BD2796" w:rsidRDefault="00000000">
      <w:pPr>
        <w:pStyle w:val="Heading1"/>
      </w:pPr>
      <w:r>
        <w:rPr>
          <w:rFonts w:ascii="Times New Roman" w:hAnsi="Times New Roman"/>
          <w:color w:val="000000"/>
        </w:rPr>
        <w:t>Strategic Recommendations for Cotiviti</w:t>
      </w:r>
    </w:p>
    <w:p w14:paraId="528BF243" w14:textId="77777777" w:rsidR="00BD2796" w:rsidRDefault="00000000">
      <w:pPr>
        <w:spacing w:after="120"/>
        <w:ind w:firstLine="720"/>
        <w:jc w:val="both"/>
      </w:pPr>
      <w:r>
        <w:rPr>
          <w:rFonts w:ascii="Times New Roman" w:hAnsi="Times New Roman"/>
          <w:sz w:val="24"/>
        </w:rPr>
        <w:t>Two strategic investments are recommended. First, Cotiviti should develop a production-grade Agentic Payment Integrity Platform that combines pre-trained XGBoost FWA classifiers with an LLM orchestration layer. The agent would ingest claim events in near-real-time, call classification, anomaly, and peer-benchmarking tools, and produce a structured recommendation with a SHAP-grounded narrative suitable for direct inclusion in provider correspondence. This would replace fragmented point solutions with a unified, auditable pipeline. Second, Cotiviti should invest in a Provider Peer Intelligence product — a subscription analytics service delivered to payer clients — in which KMeans-derived peer cohorts are refreshed quarterly and provider deviation scores are surfaced in a client-facing dashboard. This product leverages Cotiviti's unique multi-payer data asset and creates a defensible competitive moat that pure-AI vendors cannot easily replicate.</w:t>
      </w:r>
    </w:p>
    <w:p w14:paraId="5DD9C5B6" w14:textId="77777777" w:rsidR="00BD2796" w:rsidRDefault="00000000">
      <w:r>
        <w:br w:type="page"/>
      </w:r>
    </w:p>
    <w:p w14:paraId="0682BB00" w14:textId="77777777" w:rsidR="00BD2796" w:rsidRDefault="00000000">
      <w:pPr>
        <w:spacing w:after="240"/>
        <w:jc w:val="center"/>
      </w:pPr>
      <w:r>
        <w:rPr>
          <w:rFonts w:ascii="Times New Roman" w:hAnsi="Times New Roman"/>
          <w:b/>
          <w:sz w:val="24"/>
        </w:rPr>
        <w:lastRenderedPageBreak/>
        <w:t>References</w:t>
      </w:r>
    </w:p>
    <w:p w14:paraId="604CA758" w14:textId="77777777" w:rsidR="00BD2796" w:rsidRDefault="00000000">
      <w:pPr>
        <w:spacing w:after="120"/>
        <w:ind w:left="720" w:hanging="720"/>
      </w:pPr>
      <w:r>
        <w:rPr>
          <w:rFonts w:ascii="Times New Roman" w:hAnsi="Times New Roman"/>
          <w:sz w:val="24"/>
        </w:rPr>
        <w:t>Agrawal, R., &amp; Srikant, R. (1994). Fast algorithms for mining association rules. *Proceedings of the 20th International Conference on Very Large Databases*, 487–499.</w:t>
      </w:r>
    </w:p>
    <w:p w14:paraId="77BCCB95" w14:textId="77777777" w:rsidR="00BD2796" w:rsidRDefault="00000000">
      <w:pPr>
        <w:spacing w:after="120"/>
        <w:ind w:left="720" w:hanging="720"/>
      </w:pPr>
      <w:r>
        <w:rPr>
          <w:rFonts w:ascii="Times New Roman" w:hAnsi="Times New Roman"/>
          <w:sz w:val="24"/>
        </w:rPr>
        <w:t>Bauder, R. A., Khoshgoftaar, T. M., &amp; Seliya, N. (2017). A survey on the state of the art in machine learning-based fraud detection for the Medicare program. *Proceedings of the 16th IEEE International Conference on Machine Learning and Applications (ICMLA)*, 508–515. https://doi.org/10.1109/ICMLA.2017.00-48</w:t>
      </w:r>
    </w:p>
    <w:p w14:paraId="20DB138F" w14:textId="77777777" w:rsidR="00BD2796" w:rsidRDefault="00000000">
      <w:pPr>
        <w:spacing w:after="120"/>
        <w:ind w:left="720" w:hanging="720"/>
      </w:pPr>
      <w:r>
        <w:rPr>
          <w:rFonts w:ascii="Times New Roman" w:hAnsi="Times New Roman"/>
          <w:sz w:val="24"/>
        </w:rPr>
        <w:t>Brundage, M., Avin, S., Clark, J., Toner, H., Eckersley, P., Garfinkel, B., Dafoe, A., Scharre, P., Zeitzoff, T., Filar, B., Anderson, H., Roff, H., Allen, G. C., Steinhardt, J., Flynn, C., Héigeartaigh, S. Ó., Beard, S., Belfield, H., Farquhar, S., … Amodei, D. (2018). *The malicious use of artificial intelligence: Forecasting, prevention, and mitigation*. Future of Humanity Institute. https://arxiv.org/abs/1802.07228</w:t>
      </w:r>
    </w:p>
    <w:p w14:paraId="0F8A1551" w14:textId="77777777" w:rsidR="00BD2796" w:rsidRDefault="00000000">
      <w:pPr>
        <w:spacing w:after="120"/>
        <w:ind w:left="720" w:hanging="720"/>
      </w:pPr>
      <w:r>
        <w:rPr>
          <w:rFonts w:ascii="Times New Roman" w:hAnsi="Times New Roman"/>
          <w:sz w:val="24"/>
        </w:rPr>
        <w:t>Centers for Medicare &amp; Medicaid Services. (2024). *CMS program statistics – Medicare claims data*. U.S. Department of Health &amp; Human Services. https://www.cms.gov/Research-Statistics-Data-and-Systems/Statistics-Trends-and-Reports/CMSProgramStatistics</w:t>
      </w:r>
    </w:p>
    <w:p w14:paraId="3F607907" w14:textId="77777777" w:rsidR="00BD2796" w:rsidRDefault="00000000">
      <w:pPr>
        <w:spacing w:after="120"/>
        <w:ind w:left="720" w:hanging="720"/>
      </w:pPr>
      <w:r>
        <w:rPr>
          <w:rFonts w:ascii="Times New Roman" w:hAnsi="Times New Roman"/>
          <w:sz w:val="24"/>
        </w:rPr>
        <w:t>Cotiviti. (2024). *Payment accuracy: Stop loss before it starts*. Cotiviti, Inc. https://www.cotiviti.com/solutions/payment-accuracy</w:t>
      </w:r>
    </w:p>
    <w:p w14:paraId="730FC8A6" w14:textId="77777777" w:rsidR="00BD2796" w:rsidRDefault="00000000">
      <w:pPr>
        <w:spacing w:after="120"/>
        <w:ind w:left="720" w:hanging="720"/>
      </w:pPr>
      <w:r>
        <w:rPr>
          <w:rFonts w:ascii="Times New Roman" w:hAnsi="Times New Roman"/>
          <w:sz w:val="24"/>
        </w:rPr>
        <w:t>Doshi-Velez, F., &amp; Kim, B. (2017). Towards a rigorous science of interpretable machine learning. *arXiv preprint*. https://arxiv.org/abs/1702.08608</w:t>
      </w:r>
    </w:p>
    <w:p w14:paraId="3F91709B" w14:textId="77777777" w:rsidR="00BD2796" w:rsidRDefault="00000000">
      <w:pPr>
        <w:spacing w:after="120"/>
        <w:ind w:left="720" w:hanging="720"/>
      </w:pPr>
      <w:r>
        <w:rPr>
          <w:rFonts w:ascii="Times New Roman" w:hAnsi="Times New Roman"/>
          <w:sz w:val="24"/>
        </w:rPr>
        <w:t>Esteva, A., Kuprel, B., Novoa, R. A., Ko, J., Swetter, S. M., Blau, H. M., &amp; Thrun, S. (2017). Dermatologist-level classification of skin cancer with deep neural networks. *Nature*, *542*(7639), 115–118. https://doi.org/10.1038/nature21056</w:t>
      </w:r>
    </w:p>
    <w:p w14:paraId="4999BE27" w14:textId="77777777" w:rsidR="00BD2796" w:rsidRDefault="00000000">
      <w:pPr>
        <w:spacing w:after="120"/>
        <w:ind w:left="720" w:hanging="720"/>
      </w:pPr>
      <w:r>
        <w:rPr>
          <w:rFonts w:ascii="Times New Roman" w:hAnsi="Times New Roman"/>
          <w:sz w:val="24"/>
        </w:rPr>
        <w:t>Johnson, A. E. W., Pollard, T. J., Shen, L., Lehman, L. H., Feng, M., Ghassemi, M., Moody, B., Szolovits, P., Celi, L. A., &amp; Mark, R. G. (2016). MIMIC-III, a freely accessible critical care database. *Scientific Data*, *3*, 160035. https://doi.org/10.1038/sdata.2016.35</w:t>
      </w:r>
    </w:p>
    <w:p w14:paraId="2A20C1D3" w14:textId="77777777" w:rsidR="00BD2796" w:rsidRDefault="00000000">
      <w:pPr>
        <w:spacing w:after="120"/>
        <w:ind w:left="720" w:hanging="720"/>
      </w:pPr>
      <w:r>
        <w:rPr>
          <w:rFonts w:ascii="Times New Roman" w:hAnsi="Times New Roman"/>
          <w:sz w:val="24"/>
        </w:rPr>
        <w:t>Lundberg, S. M., &amp; Lee, S.-I. (2017). A unified approach to interpreting model predictions. *Advances in Neural Information Processing Systems*, *30*, 4765–4774. https://proceedings.neurips.cc/paper/2017/hash/8a20a8621978632d76c43dfd28b67767-Abstract.html</w:t>
      </w:r>
    </w:p>
    <w:p w14:paraId="45B88575" w14:textId="77777777" w:rsidR="00BD2796" w:rsidRDefault="00000000">
      <w:pPr>
        <w:spacing w:after="120"/>
        <w:ind w:left="720" w:hanging="720"/>
      </w:pPr>
      <w:r>
        <w:rPr>
          <w:rFonts w:ascii="Times New Roman" w:hAnsi="Times New Roman"/>
          <w:sz w:val="24"/>
        </w:rPr>
        <w:t>Molnar, C. (2022). *Interpretable machine learning: A guide for making black box models explainable* (2nd ed.). https://christophm.github.io/interpretable-ml-book/</w:t>
      </w:r>
    </w:p>
    <w:p w14:paraId="52E4B01F" w14:textId="77777777" w:rsidR="00BD2796" w:rsidRDefault="00000000">
      <w:pPr>
        <w:spacing w:after="120"/>
        <w:ind w:left="720" w:hanging="720"/>
      </w:pPr>
      <w:r>
        <w:rPr>
          <w:rFonts w:ascii="Times New Roman" w:hAnsi="Times New Roman"/>
          <w:sz w:val="24"/>
        </w:rPr>
        <w:t>OpenAI. (2024). *GPT-4 technical report*. OpenAI. https://arxiv.org/abs/2303.08774</w:t>
      </w:r>
    </w:p>
    <w:p w14:paraId="2A456E34" w14:textId="77777777" w:rsidR="00BD2796" w:rsidRDefault="00000000">
      <w:pPr>
        <w:spacing w:after="120"/>
        <w:ind w:left="720" w:hanging="720"/>
      </w:pPr>
      <w:r>
        <w:rPr>
          <w:rFonts w:ascii="Times New Roman" w:hAnsi="Times New Roman"/>
          <w:sz w:val="24"/>
        </w:rPr>
        <w:t>Park, Y., Jackson, G. P., Foreman, M. A., Gruen, D., Hu, J., &amp; Das, A. K. (2020). Diverse real-world data for a hypothetical clinical trial: A feasibility study. *Journal of the American Medical Informatics Association*, *27*(8), 1172–1177. https://doi.org/10.1093/jamia/ocaa104</w:t>
      </w:r>
    </w:p>
    <w:p w14:paraId="44A18BAB" w14:textId="77777777" w:rsidR="00BD2796" w:rsidRDefault="00000000">
      <w:pPr>
        <w:spacing w:after="120"/>
        <w:ind w:left="720" w:hanging="720"/>
      </w:pPr>
      <w:r>
        <w:rPr>
          <w:rFonts w:ascii="Times New Roman" w:hAnsi="Times New Roman"/>
          <w:sz w:val="24"/>
        </w:rPr>
        <w:lastRenderedPageBreak/>
        <w:t>Shickel, B., Tighe, P. J., Bihorac, A., &amp; Rashidi, P. (2018). Deep EHR: A survey of recent advances in deep learning techniques for electronic health record (EHR) analysis. *IEEE Journal of Biomedical and Health Informatics*, *22*(5), 1589–1604. https://doi.org/10.1109/JBHI.2017.2767063</w:t>
      </w:r>
    </w:p>
    <w:p w14:paraId="0478039B" w14:textId="77777777" w:rsidR="00BD2796" w:rsidRDefault="00000000">
      <w:pPr>
        <w:spacing w:after="120"/>
        <w:ind w:left="720" w:hanging="720"/>
      </w:pPr>
      <w:r>
        <w:rPr>
          <w:rFonts w:ascii="Times New Roman" w:hAnsi="Times New Roman"/>
          <w:sz w:val="24"/>
        </w:rPr>
        <w:t>Verma, A., Lamsal, A., &amp; Verma, P. (2021). An investigation of features in the diagnosis of breast cancer using machine learning algorithms. *International Journal of Information Technology &amp; Decision Making*, *20*(3), 1–27. https://doi.org/10.1142/S0219622021500486</w:t>
      </w:r>
    </w:p>
    <w:p w14:paraId="0B2EF4AE" w14:textId="77777777" w:rsidR="00BD2796" w:rsidRDefault="00000000">
      <w:pPr>
        <w:spacing w:after="120"/>
        <w:ind w:left="720" w:hanging="720"/>
      </w:pPr>
      <w:r>
        <w:rPr>
          <w:rFonts w:ascii="Times New Roman" w:hAnsi="Times New Roman"/>
          <w:sz w:val="24"/>
        </w:rPr>
        <w:t>Wei, J., Wang, X., Schuurmans, D., Bosma, M., Xia, F., Chi, E., Le, Q. V., &amp; Zhou, D. (2022). Chain-of-thought prompting elicits reasoning in large language models. *Advances in Neural Information Processing Systems*, *35*, 24824–24837. https://proceedings.neurips.cc/paper_files/paper/2022/hash/9d5609613524ecf4f15af0f7b31abca4-Abstract-Conference.html</w:t>
      </w:r>
    </w:p>
    <w:p w14:paraId="236D6080" w14:textId="77777777" w:rsidR="00BD2796" w:rsidRDefault="00000000">
      <w:pPr>
        <w:spacing w:after="120"/>
        <w:ind w:left="720" w:hanging="720"/>
      </w:pPr>
      <w:r>
        <w:rPr>
          <w:rFonts w:ascii="Times New Roman" w:hAnsi="Times New Roman"/>
          <w:sz w:val="24"/>
        </w:rPr>
        <w:t>Yao, S., Yu, D., Zhao, J., Shafran, I., Griffiths, T., Cao, Y., &amp; Narasimhan, K. (2023). Tree of thoughts: Deliberate problem solving with large language models. *arXiv preprint*. https://arxiv.org/abs/2305.10601</w:t>
      </w:r>
    </w:p>
    <w:sectPr w:rsidR="00BD279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812652">
    <w:abstractNumId w:val="8"/>
  </w:num>
  <w:num w:numId="2" w16cid:durableId="1642465369">
    <w:abstractNumId w:val="6"/>
  </w:num>
  <w:num w:numId="3" w16cid:durableId="1348412598">
    <w:abstractNumId w:val="5"/>
  </w:num>
  <w:num w:numId="4" w16cid:durableId="1635989652">
    <w:abstractNumId w:val="4"/>
  </w:num>
  <w:num w:numId="5" w16cid:durableId="1753819375">
    <w:abstractNumId w:val="7"/>
  </w:num>
  <w:num w:numId="6" w16cid:durableId="803548238">
    <w:abstractNumId w:val="3"/>
  </w:num>
  <w:num w:numId="7" w16cid:durableId="1823505444">
    <w:abstractNumId w:val="2"/>
  </w:num>
  <w:num w:numId="8" w16cid:durableId="1862164009">
    <w:abstractNumId w:val="1"/>
  </w:num>
  <w:num w:numId="9" w16cid:durableId="578826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69A"/>
    <w:rsid w:val="0015074B"/>
    <w:rsid w:val="0029639D"/>
    <w:rsid w:val="00326F90"/>
    <w:rsid w:val="00835BB0"/>
    <w:rsid w:val="00AA1D8D"/>
    <w:rsid w:val="00B47730"/>
    <w:rsid w:val="00BD27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2CE34"/>
  <w14:defaultImageDpi w14:val="300"/>
  <w15:docId w15:val="{436D3438-EFB5-4407-9508-8BFE13982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1596</Words>
  <Characters>9099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Ashmeet Sandhu</cp:lastModifiedBy>
  <cp:revision>2</cp:revision>
  <dcterms:created xsi:type="dcterms:W3CDTF">2013-12-23T23:15:00Z</dcterms:created>
  <dcterms:modified xsi:type="dcterms:W3CDTF">2026-06-30T18:42:00Z</dcterms:modified>
  <cp:category/>
</cp:coreProperties>
</file>