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b/>
          <w:sz w:val="32"/>
          <w:szCs w:val="32"/>
        </w:rPr>
        <w:t xml:space="preserve">Explainable Ensemble Learning for Telecom Customer Churn Prediction and Retention Recommendations</w:t>
      </w:r>
    </w:p>
    <w:p>
      <w:pPr>
        <w:jc w:val="center"/>
      </w:pPr>
      <w:r>
        <w:rPr>
          <w:i/>
          <w:sz w:val="20"/>
          <w:szCs w:val="20"/>
        </w:rPr>
        <w:t xml:space="preserve">First Author, Second Author, and Third Author</w:t>
      </w:r>
    </w:p>
    <w:p>
      <w:pPr>
        <w:jc w:val="center"/>
      </w:pPr>
      <w:r>
        <w:rPr>
          <w:sz w:val="18"/>
          <w:szCs w:val="18"/>
        </w:rPr>
        <w:t xml:space="preserve">Department of Computer Science and Engineering, College of Engineering and Technology
Emails: author1@institution.edu, author2@institution.edu, author3@institution.edu</w:t>
      </w:r>
    </w:p>
    <w:p>
      <w:pPr>
        <w:jc w:val="both"/>
      </w:pPr>
      <w:r>
        <w:rPr>
          <w:b/>
          <w:sz w:val="18"/>
          <w:szCs w:val="18"/>
        </w:rPr>
        <w:t xml:space="preserve">Abstract—Customer attrition represents a multi-billion dollar threat to telecommunications providers operating in saturated mobile and broadband markets. While modern machine learning algorithms achieve high global accuracy, traditional deployment pipelines suffer from three structural shortcomings: (i) an uncalibrated default decision threshold (tau=0.50) that suppresses recall for the minority churn class; (ii) opaque 'black-box' scoring that fails to explain individual attrition drivers; and (iii) a critical operational disconnect between raw churn probabilities and concrete, state-aware customer retention actions. In this paper, we present an end-to-end, explainable ensemble learning and decision-support framework designed to bridge predictive modeling and operational intervention. The proposed predictive architecture combines Random Forest, XGBoost, and LightGBM base classifiers using a leak-free out-of-fold stacking meta-learner (Logistic Regression) integrated within a 5-fold cross-validated SMOTE pipeline. On the benchmark IBM Telco Customer Churn dataset (7,043 instances, 26.54% churn rate), our stacking ensemble achieves a primary recall of 79.68%, outperforming individual base models while securing an ROC-AUC of 0.8460 and PR-AUC of 0.6522. By optimizing the classification decision boundary via precision-recall trade-off analysis (tau=0.29), churn recall increases to 90.11% (reducing false negatives from 76 to 37), while cost-sensitive thresholding (tau=0.0951) catches 95.45% of churners under an empirical 10:1 false negative-to-false positive cost ratio. To render predictions actionable, we couple Tree/Kernel SHAP and tabular LIME surrogates with a domain-aligned business factor taxonomy across billing, contract, lifecycle, and service dimensions. A state-aware recommendation engine filters out redundant interventions and computes ranked, cost-weighted Action Scores for up to 10 prioritized retention strategies. Finally, we provide demographic fairness evaluations, Cox proportional hazards survival modeling (concordance index of 0.8539), and describe an operational full-stack software implementation comprising a FastAPI backend, React dashboard, What-If simulator, and batch inference engine.</w:t>
      </w:r>
    </w:p>
    <w:p>
      <w:pPr>
        <w:jc w:val="both"/>
      </w:pPr>
      <w:r>
        <w:rPr>
          <w:b/>
          <w:i/>
          <w:sz w:val="18"/>
          <w:szCs w:val="18"/>
        </w:rPr>
        <w:t xml:space="preserve">Keywords—Customer Churn Prediction, Explainable Artificial Intelligence (XAI), Stacking Ensemble Learning, SHAP, LIME, Threshold Optimization, Telecom Retention Decision Support, Survival Analysis.</w:t>
      </w:r>
    </w:p>
    <w:p>
      <w:pPr>
        <w:pStyle w:val="Heading1"/>
        <w:jc w:val="center"/>
        <w:spacing w:before="240" w:after="100"/>
      </w:pPr>
      <w:r>
        <w:rPr>
          <w:b/>
          <w:caps/>
          <w:sz w:val="22"/>
        </w:rPr>
        <w:t>I. INTRODUCTION</w:t>
      </w:r>
    </w:p>
    <w:p>
      <w:pPr>
        <w:jc w:val="both"/>
        <w:ind w:firstLine="280"/>
      </w:pPr>
      <w:r>
        <w:rPr>
          <w:sz w:val="20"/>
          <w:szCs w:val="20"/>
        </w:rPr>
        <w:t xml:space="preserve">Customer retention has emerged as the definitive operational battleground for telecommunications operators globally. Across modern telecommunications ecosystems, acquiring a newly subscribed customer is estimated to cost between five and twenty-five times more than retaining an existing account [1]. Driven by widespread mobile number portability, aggressive price competition, commoditized broadband connectivity, and flexible month-to-month contracts, churn rates in the telecom industry frequently hover between 20% and 40% annually [2], [3]. Consequently, telecom business leaders rely heavily on automated predictive modeling to proactively flag subscribers exhibiting high attrition risk before formal contract cancellation occurs.</w:t>
      </w:r>
    </w:p>
    <w:p>
      <w:pPr>
        <w:jc w:val="both"/>
        <w:ind w:firstLine="280"/>
      </w:pPr>
      <w:r>
        <w:rPr>
          <w:sz w:val="20"/>
          <w:szCs w:val="20"/>
        </w:rPr>
        <w:t xml:space="preserve">Despite extensive research into supervised machine learning for churn identification, traditional academic literature and industry deployments frequently exhibit four persistent limitations:</w:t>
      </w:r>
    </w:p>
    <w:p>
      <w:pPr>
        <w:jc w:val="both"/>
        <w:ind w:firstLine="280"/>
      </w:pPr>
      <w:r>
        <w:rPr>
          <w:sz w:val="20"/>
          <w:szCs w:val="20"/>
        </w:rPr>
        <w:t xml:space="preserve">1) Accuracy-Centric Objective Mismatch: Standard classification algorithms are routinely evaluated against overall accuracy. However, in imbalanced customer churn distributions (typically 10%–30% positive churners), accuracy is fundamentally misleading. A trivial null classifier that predicts zero attrition achieves deceptively high accuracy while missing 100% of actual customer defections. In commercial retention operations, a False Negative (failing to identify a churning customer who permanently defects) costs hundreds of dollars in lost Customer Lifetime Value (CLV), whereas a False Positive merely prompts an unnecessary retention outreach or discount voucher [4]. Hence, maximizing Recall on the positive churn class must be the primary objective.</w:t>
      </w:r>
    </w:p>
    <w:p>
      <w:pPr>
        <w:jc w:val="both"/>
        <w:ind w:firstLine="280"/>
      </w:pPr>
      <w:r>
        <w:rPr>
          <w:sz w:val="20"/>
          <w:szCs w:val="20"/>
        </w:rPr>
        <w:t xml:space="preserve">2) Rigid Probability Thresholds: Machine learning classifiers standardly classify instances using an arbitrary 50% decision threshold (P(churn) &gt;= 0.50). This default cutoff rarely corresponds to the operational or financial optima of telecom retention desks. When retention teams possess adequate outbound capacity, lowering the threshold dynamically captures substantially more defecting subscribers.</w:t>
      </w:r>
    </w:p>
    <w:p>
      <w:pPr>
        <w:jc w:val="both"/>
        <w:ind w:firstLine="280"/>
      </w:pPr>
      <w:r>
        <w:rPr>
          <w:sz w:val="20"/>
          <w:szCs w:val="20"/>
        </w:rPr>
        <w:t xml:space="preserve">3) The Explainability Chasm: State-of-the-art non-linear learners—such as gradient-boosted decision trees and stacked ensembles—act as complex black boxes. Without clear interpretability, customer relationship management (CRM) representatives cannot ascertain why a given customer is flagged as high-risk [5].</w:t>
      </w:r>
    </w:p>
    <w:p>
      <w:pPr>
        <w:jc w:val="both"/>
        <w:ind w:firstLine="280"/>
      </w:pPr>
      <w:r>
        <w:rPr>
          <w:sz w:val="20"/>
          <w:szCs w:val="20"/>
        </w:rPr>
        <w:t xml:space="preserve">4) The Actionability Gap: Merely presenting a CRM agent or marketing director with raw feature weights (e.g., 'MonthlyCharges = 0.34') does not constitute a viable retention intervention. Without an intelligent, state-aware transformation layer that bridges technical attribution values and enterprise business constraints, model outputs remain clinically disconnected from operational workflows.</w:t>
      </w:r>
    </w:p>
    <w:p>
      <w:pPr>
        <w:pStyle w:val="Heading1"/>
        <w:jc w:val="center"/>
        <w:spacing w:before="240" w:after="100"/>
      </w:pPr>
      <w:r>
        <w:rPr>
          <w:b/>
          <w:caps/>
          <w:sz w:val="22"/>
        </w:rPr>
        <w:t>II. LITERATURE REVIEW</w:t>
      </w:r>
    </w:p>
    <w:p>
      <w:pPr>
        <w:jc w:val="both"/>
        <w:ind w:firstLine="280"/>
      </w:pPr>
      <w:r>
        <w:rPr>
          <w:sz w:val="20"/>
          <w:szCs w:val="20"/>
        </w:rPr>
        <w:t xml:space="preserve">Machine learning applications in customer relationship management have evolved across three successive paradigms: parametric statistical models, tree-based ensemble methods, and explainable artificial intelligence (XAI). Early churn prediction literature relied primarily on logistic regression, linear discriminant analysis, and single decision trees [1]. While computationally parsimonious and inherently interpretable, linear models exhibit high bias and cannot adequately capture complex non-linear feature interactions.</w:t>
      </w:r>
    </w:p>
    <w:p>
      <w:pPr>
        <w:jc w:val="both"/>
        <w:ind w:firstLine="280"/>
      </w:pPr>
      <w:r>
        <w:rPr>
          <w:sz w:val="20"/>
          <w:szCs w:val="20"/>
        </w:rPr>
        <w:t xml:space="preserve">The introduction of tree ensemble algorithms substantially raised predictive accuracy. Breiman's Random Forest [6] established that aggregating randomized, de-correlated decision trees reduces estimator variance while demonstrating resilience against noisy features. Subsequently, gradient-boosted decision trees became the dominant paradigm for tabular data. Chen and Guestrin introduced XGBoost [7], which combines second-order Taylor expansion of the loss function, weighted quantile sketches, and explicit L1/L2 leaf regularization. Ke et al. developed LightGBM [8], introducing Gradient-based One-Side Sampling (GOSS) and Exclusive Feature Bundling (EFB) along with leaf-wise tree growth.</w:t>
      </w:r>
    </w:p>
    <w:p>
      <w:pPr>
        <w:jc w:val="both"/>
        <w:ind w:firstLine="280"/>
      </w:pPr>
      <w:r>
        <w:rPr>
          <w:sz w:val="20"/>
          <w:szCs w:val="20"/>
        </w:rPr>
        <w:t xml:space="preserve">Telecom datasets naturally exhibit class imbalance, with retained customers outnumbering churners by ratios of 3:1 to 12:1 [12]. Chawla et al. proposed SMOTE [13] to synthesize artificial minority instances. However, as Santos et al. [16] emphasize, applying oversampling before train/test splitting or outside cross-validation folds leaks target distribution artifacts into the evaluation set, creating catastrophic optimistic bias. To resolve model opacity, Lundberg and Lee developed SHAP [17] and Ribeiro et al. developed LIME [19]. Our work integrates both frameworks into an actionability engine [20], [21].</w:t>
      </w:r>
    </w:p>
    <w:p>
      <w:pPr>
        <w:pStyle w:val="Heading1"/>
        <w:jc w:val="center"/>
        <w:spacing w:before="240" w:after="100"/>
      </w:pPr>
      <w:r>
        <w:rPr>
          <w:b/>
          <w:caps/>
          <w:sz w:val="22"/>
        </w:rPr>
        <w:t>III. PROBLEM STATEMENT AND RESEARCH GAP</w:t>
      </w:r>
    </w:p>
    <w:p>
      <w:pPr>
        <w:jc w:val="both"/>
        <w:ind w:firstLine="280"/>
      </w:pPr>
      <w:r>
        <w:rPr>
          <w:sz w:val="20"/>
          <w:szCs w:val="20"/>
        </w:rPr>
        <w:t xml:space="preserve">Let D = {(x_i, y_i)} represent a telecom customer dataset where x_i denotes customer attributes and y_i in {0, 1} denotes binary churn. Standard objective functions under default threshold tau=0.50 fail to account for asymmetric business costs where C_FN &gt;&gt; C_FP (typically 10:1 ratio). Furthermore, technical attribution vectors are non-actionable without customer-state validation. Our framework unifies predictive modeling, threshold selection, dual explainability, and prescriptive retention recommendations.</w:t>
      </w:r>
    </w:p>
    <w:p>
      <w:pPr>
        <w:pStyle w:val="Heading1"/>
        <w:jc w:val="center"/>
        <w:spacing w:before="240" w:after="100"/>
      </w:pPr>
      <w:r>
        <w:rPr>
          <w:b/>
          <w:caps/>
          <w:sz w:val="22"/>
        </w:rPr>
        <w:t>IV. PROPOSED SYSTEM</w:t>
      </w:r>
    </w:p>
    <w:p>
      <w:pPr>
        <w:jc w:val="both"/>
        <w:ind w:firstLine="280"/>
      </w:pPr>
      <w:r>
        <w:rPr>
          <w:sz w:val="20"/>
          <w:szCs w:val="20"/>
        </w:rPr>
        <w:t xml:space="preserve">The proposed architecture integrates data hygiene, domain feature engineering, leak-free in-fold SMOTE, heterogeneous base learners, out-of-fold stacking, dual XAI decomposition, and a state-aware retention recommendation catalog.</w:t>
      </w:r>
    </w:p>
    <w:p>
      <w:pPr>
        <w:jc w:val="center"/>
      </w:pPr>
      <w:r>
        <w:drawing>
          <wp:inline xmlns:wp="http://schemas.openxmlformats.org/drawingml/2006/wordprocessingDrawing" distT="0" distB="0" distL="0" distR="0">
            <wp:extent cx="5200000" cy="6400000"/>
            <wp:docPr id="1" name="Proposed System Architecture"/>
            <a:graphic xmlns:a="http://schemas.openxmlformats.org/drawingml/2006/main">
              <a:graphicData uri="http://schemas.openxmlformats.org/drawingml/2006/picture">
                <pic:pic xmlns:pic="http://schemas.openxmlformats.org/drawingml/2006/picture">
                  <pic:nvPicPr>
                    <pic:cNvPr id="0" name="Proposed System Architecture"/>
                    <pic:cNvPicPr/>
                  </pic:nvPicPr>
                  <pic:blipFill>
                    <a:blip xmlns:r="http://schemas.openxmlformats.org/officeDocument/2006/relationships" r:embed="rIdImg1"/>
                    <a:stretch>
                      <a:fillRect/>
                    </a:stretch>
                  </pic:blipFill>
                  <pic:spPr>
                    <a:xfrm>
                      <a:off x="0" y="0"/>
                      <a:ext cx="5200000" cy="6400000"/>
                    </a:xfrm>
                    <a:prstGeom prst="rect">
                      <a:avLst/>
                    </a:prstGeom>
                  </pic:spPr>
                </pic:pic>
              </a:graphicData>
            </a:graphic>
          </wp:inline>
        </w:drawing>
      </w:r>
    </w:p>
    <w:p>
      <w:pPr>
        <w:jc w:val="center"/>
        <w:spacing w:after="160"/>
      </w:pPr>
      <w:r>
        <w:rPr>
          <w:b/>
          <w:sz w:val="18"/>
        </w:rPr>
        <w:t>Fig. 1. </w:t>
      </w:r>
      <w:r>
        <w:rPr>
          <w:sz w:val="18"/>
        </w:rPr>
        <w:t>Proposed System Architecture: End-to-end integration of data preprocessing, stacking ensemble classification, dual explainability, and telecom decision support.</w:t>
      </w:r>
    </w:p>
    <w:p>
      <w:pPr>
        <w:pStyle w:val="Heading2"/>
        <w:spacing w:before="160" w:after="60"/>
      </w:pPr>
      <w:r>
        <w:rPr>
          <w:b/>
          <w:i/>
          <w:sz w:val="20"/>
        </w:rPr>
        <w:t>A. Domain Feature Engineering and Minimal 6-Input Mapping</w:t>
      </w:r>
    </w:p>
    <w:p>
      <w:pPr>
        <w:jc w:val="both"/>
        <w:ind w:firstLine="280"/>
      </w:pPr>
      <w:r>
        <w:rPr>
          <w:sz w:val="20"/>
          <w:szCs w:val="20"/>
        </w:rPr>
        <w:t xml:space="preserve">From the raw customer attributes, domain interaction terms were formulated: AvgMonthlySpend = TotalCharges / (tenure + 1); ChargeIncrease = MonthlyCharges - AvgMonthlySpend; TenureSquared = tenure^2; HighRiskCombo = I(Contract='Month-to-month' and PaymentMethod='Electronic check'); and VeryHighRisk = I(HighRiskCombo=1 and tenure &lt;= 12). While the complete dataset contains 83 engineered columns, the minimal user input interface operates using only 6 fields: tenure, MonthlyCharges, TotalCharges, Contract, PaymentMethod, and InternetService.</w:t>
      </w:r>
    </w:p>
    <w:p>
      <w:pPr>
        <w:pStyle w:val="Heading2"/>
        <w:spacing w:before="160" w:after="60"/>
      </w:pPr>
      <w:r>
        <w:rPr>
          <w:b/>
          <w:i/>
          <w:sz w:val="20"/>
        </w:rPr>
        <w:t>B. Leak-Free Stacking Ensemble Architecture</w:t>
      </w:r>
    </w:p>
    <w:p>
      <w:pPr>
        <w:jc w:val="both"/>
        <w:ind w:firstLine="280"/>
      </w:pPr>
      <w:r>
        <w:rPr>
          <w:sz w:val="20"/>
          <w:szCs w:val="20"/>
        </w:rPr>
        <w:t xml:space="preserve">To eliminate optimistic data leakage, SMOTE oversampling and z-score feature scaling are encapsulated strictly inside 5-fold cross-validation. Base learners (Random Forest, XGBoost, and LightGBM) generate out-of-fold probability vectors that serve as meta-features for a Logistic Regression meta-classifier.</w:t>
      </w:r>
    </w:p>
    <w:p>
      <w:pPr>
        <w:jc w:val="center"/>
      </w:pPr>
      <w:r>
        <w:drawing>
          <wp:inline xmlns:wp="http://schemas.openxmlformats.org/drawingml/2006/wordprocessingDrawing" distT="0" distB="0" distL="0" distR="0">
            <wp:extent cx="5400000" cy="2800000"/>
            <wp:docPr id="1" name="Machine Learning Workflow"/>
            <a:graphic xmlns:a="http://schemas.openxmlformats.org/drawingml/2006/main">
              <a:graphicData uri="http://schemas.openxmlformats.org/drawingml/2006/picture">
                <pic:pic xmlns:pic="http://schemas.openxmlformats.org/drawingml/2006/picture">
                  <pic:nvPicPr>
                    <pic:cNvPr id="0" name="Machine Learning Workflow"/>
                    <pic:cNvPicPr/>
                  </pic:nvPicPr>
                  <pic:blipFill>
                    <a:blip xmlns:r="http://schemas.openxmlformats.org/officeDocument/2006/relationships" r:embed="rIdImg2"/>
                    <a:stretch>
                      <a:fillRect/>
                    </a:stretch>
                  </pic:blipFill>
                  <pic:spPr>
                    <a:xfrm>
                      <a:off x="0" y="0"/>
                      <a:ext cx="5400000" cy="2800000"/>
                    </a:xfrm>
                    <a:prstGeom prst="rect">
                      <a:avLst/>
                    </a:prstGeom>
                  </pic:spPr>
                </pic:pic>
              </a:graphicData>
            </a:graphic>
          </wp:inline>
        </w:drawing>
      </w:r>
    </w:p>
    <w:p>
      <w:pPr>
        <w:jc w:val="center"/>
        <w:spacing w:after="160"/>
      </w:pPr>
      <w:r>
        <w:rPr>
          <w:b/>
          <w:sz w:val="18"/>
        </w:rPr>
        <w:t>Fig. 2. </w:t>
      </w:r>
      <w:r>
        <w:rPr>
          <w:sz w:val="18"/>
        </w:rPr>
        <w:t>Leak-free Machine Learning Workflow: Cross-validated out-of-fold probability generation and meta-learner stacking.</w:t>
      </w:r>
    </w:p>
    <w:p>
      <w:pPr>
        <w:pStyle w:val="Heading2"/>
        <w:spacing w:before="160" w:after="60"/>
      </w:pPr>
      <w:r>
        <w:rPr>
          <w:b/>
          <w:i/>
          <w:sz w:val="20"/>
        </w:rPr>
        <w:t>C. Dual Explainability and Recommendation Engine</w:t>
      </w:r>
    </w:p>
    <w:p>
      <w:pPr>
        <w:jc w:val="both"/>
        <w:ind w:firstLine="280"/>
      </w:pPr>
      <w:r>
        <w:rPr>
          <w:sz w:val="20"/>
          <w:szCs w:val="20"/>
        </w:rPr>
        <w:t xml:space="preserve">TreeSHAP and LIME tabular surrogates decompose predictions into positive (risk-increasing) and negative (protective) contributions. The recommendation engine applies customer-state pruning rules (e.g., suppressing autopay recommendations if the account is already enrolled in bank transfer) and ranks retention strategies via an explicit multi-factor utility function: Action Score = (Risk Contribution * Customer Risk Factor * Business Relevance * Expected Impact) / Action Cost.</w:t>
      </w:r>
    </w:p>
    <w:p>
      <w:pPr>
        <w:jc w:val="center"/>
      </w:pPr>
      <w:r>
        <w:drawing>
          <wp:inline xmlns:wp="http://schemas.openxmlformats.org/drawingml/2006/wordprocessingDrawing" distT="0" distB="0" distL="0" distR="0">
            <wp:extent cx="5400000" cy="2800000"/>
            <wp:docPr id="1" name="Explainable AI Workflow"/>
            <a:graphic xmlns:a="http://schemas.openxmlformats.org/drawingml/2006/main">
              <a:graphicData uri="http://schemas.openxmlformats.org/drawingml/2006/picture">
                <pic:pic xmlns:pic="http://schemas.openxmlformats.org/drawingml/2006/picture">
                  <pic:nvPicPr>
                    <pic:cNvPr id="0" name="Explainable AI Workflow"/>
                    <pic:cNvPicPr/>
                  </pic:nvPicPr>
                  <pic:blipFill>
                    <a:blip xmlns:r="http://schemas.openxmlformats.org/officeDocument/2006/relationships" r:embed="rIdImg3"/>
                    <a:stretch>
                      <a:fillRect/>
                    </a:stretch>
                  </pic:blipFill>
                  <pic:spPr>
                    <a:xfrm>
                      <a:off x="0" y="0"/>
                      <a:ext cx="5400000" cy="2800000"/>
                    </a:xfrm>
                    <a:prstGeom prst="rect">
                      <a:avLst/>
                    </a:prstGeom>
                  </pic:spPr>
                </pic:pic>
              </a:graphicData>
            </a:graphic>
          </wp:inline>
        </w:drawing>
      </w:r>
    </w:p>
    <w:p>
      <w:pPr>
        <w:jc w:val="center"/>
        <w:spacing w:after="160"/>
      </w:pPr>
      <w:r>
        <w:rPr>
          <w:b/>
          <w:sz w:val="18"/>
        </w:rPr>
        <w:t>Fig. 3. </w:t>
      </w:r>
      <w:r>
        <w:rPr>
          <w:sz w:val="18"/>
        </w:rPr>
        <w:t>Explainable AI and Recommendation Workflow: Local feature attribution decomposition mapped into actionable retention strategies.</w:t>
      </w:r>
    </w:p>
    <w:p>
      <w:pPr>
        <w:pStyle w:val="Heading1"/>
        <w:jc w:val="center"/>
        <w:spacing w:before="240" w:after="100"/>
      </w:pPr>
      <w:r>
        <w:rPr>
          <w:b/>
          <w:caps/>
          <w:sz w:val="22"/>
        </w:rPr>
        <w:t>V. DATASET AND EXPERIMENTAL SETUP</w:t>
      </w:r>
    </w:p>
    <w:p>
      <w:pPr>
        <w:jc w:val="both"/>
        <w:ind w:firstLine="280"/>
      </w:pPr>
      <w:r>
        <w:rPr>
          <w:sz w:val="20"/>
          <w:szCs w:val="20"/>
        </w:rPr>
        <w:t xml:space="preserve">Experiments were conducted on the benchmark IBM Telco dataset (7,043 instances, 26.54% churn) partitioned into an 80% training set (5,634 rows) and a 20% held-out test set (1,409 rows; 1,035 retain, 374 churn). Model configurations were tuned using Optuna TPE search.</w:t>
      </w:r>
    </w:p>
    <w:p>
      <w:pPr>
        <w:jc w:val="center"/>
        <w:spacing w:before="160" w:after="60"/>
      </w:pPr>
      <w:r>
        <w:rPr>
          <w:b/>
          <w:caps/>
          <w:sz w:val="18"/>
        </w:rPr>
        <w:t>TABLE I: DATASET CHARACTERISTICS</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Attribute</w:t>
            </w:r>
          </w:p>
        </w:tc>
        <w:tc>
          <w:tcPr>
            <w:shd w:val="clear" w:color="auto" w:fill="F2F4F7"/>
            <w:tcMar>
              <w:top w:w="80"/>
              <w:bottom w:w="80"/>
              <w:left w:w="120"/>
              <w:right w:w="120"/>
            </w:tcMar>
          </w:tcPr>
          <w:p>
            <w:pPr>
              <w:jc w:val="center"/>
            </w:pPr>
            <w:r>
              <w:rPr>
                <w:b/>
                <w:sz w:val="17"/>
              </w:rPr>
              <w:t>IBM Telco (Primary)</w:t>
            </w:r>
          </w:p>
        </w:tc>
        <w:tc>
          <w:tcPr>
            <w:shd w:val="clear" w:color="auto" w:fill="F2F4F7"/>
            <w:tcMar>
              <w:top w:w="80"/>
              <w:bottom w:w="80"/>
              <w:left w:w="120"/>
              <w:right w:w="120"/>
            </w:tcMar>
          </w:tcPr>
          <w:p>
            <w:pPr>
              <w:jc w:val="center"/>
            </w:pPr>
            <w:r>
              <w:rPr>
                <w:b/>
                <w:sz w:val="17"/>
              </w:rPr>
              <w:t>Balanced Telco</w:t>
            </w:r>
          </w:p>
        </w:tc>
      </w:tr>
      <w:tr>
        <w:tc>
          <w:tcPr>
            <w:tcMar>
              <w:top w:w="60"/>
              <w:bottom w:w="60"/>
              <w:left w:w="100"/>
              <w:right w:w="100"/>
            </w:tcMar>
          </w:tcPr>
          <w:p>
            <w:r>
              <w:rPr>
                <w:sz w:val="17"/>
              </w:rPr>
              <w:t>Total Records</w:t>
            </w:r>
          </w:p>
        </w:tc>
        <w:tc>
          <w:tcPr>
            <w:tcMar>
              <w:top w:w="60"/>
              <w:bottom w:w="60"/>
              <w:left w:w="100"/>
              <w:right w:w="100"/>
            </w:tcMar>
          </w:tcPr>
          <w:p>
            <w:r>
              <w:rPr>
                <w:sz w:val="17"/>
              </w:rPr>
              <w:t>7,043</w:t>
            </w:r>
          </w:p>
        </w:tc>
        <w:tc>
          <w:tcPr>
            <w:tcMar>
              <w:top w:w="60"/>
              <w:bottom w:w="60"/>
              <w:left w:w="100"/>
              <w:right w:w="100"/>
            </w:tcMar>
          </w:tcPr>
          <w:p>
            <w:r>
              <w:rPr>
                <w:sz w:val="17"/>
              </w:rPr>
              <w:t>8,000</w:t>
            </w:r>
          </w:p>
        </w:tc>
      </w:tr>
      <w:tr>
        <w:tc>
          <w:tcPr>
            <w:tcMar>
              <w:top w:w="60"/>
              <w:bottom w:w="60"/>
              <w:left w:w="100"/>
              <w:right w:w="100"/>
            </w:tcMar>
          </w:tcPr>
          <w:p>
            <w:r>
              <w:rPr>
                <w:sz w:val="17"/>
              </w:rPr>
              <w:t>Retained Customers (y=0)</w:t>
            </w:r>
          </w:p>
        </w:tc>
        <w:tc>
          <w:tcPr>
            <w:tcMar>
              <w:top w:w="60"/>
              <w:bottom w:w="60"/>
              <w:left w:w="100"/>
              <w:right w:w="100"/>
            </w:tcMar>
          </w:tcPr>
          <w:p>
            <w:r>
              <w:rPr>
                <w:sz w:val="17"/>
              </w:rPr>
              <w:t>5,174 (73.46%)</w:t>
            </w:r>
          </w:p>
        </w:tc>
        <w:tc>
          <w:tcPr>
            <w:tcMar>
              <w:top w:w="60"/>
              <w:bottom w:w="60"/>
              <w:left w:w="100"/>
              <w:right w:w="100"/>
            </w:tcMar>
          </w:tcPr>
          <w:p>
            <w:r>
              <w:rPr>
                <w:sz w:val="17"/>
              </w:rPr>
              <w:t>4,000 (50.00%)</w:t>
            </w:r>
          </w:p>
        </w:tc>
      </w:tr>
      <w:tr>
        <w:tc>
          <w:tcPr>
            <w:tcMar>
              <w:top w:w="60"/>
              <w:bottom w:w="60"/>
              <w:left w:w="100"/>
              <w:right w:w="100"/>
            </w:tcMar>
          </w:tcPr>
          <w:p>
            <w:r>
              <w:rPr>
                <w:sz w:val="17"/>
              </w:rPr>
              <w:t>Churned Customers (y=1)</w:t>
            </w:r>
          </w:p>
        </w:tc>
        <w:tc>
          <w:tcPr>
            <w:tcMar>
              <w:top w:w="60"/>
              <w:bottom w:w="60"/>
              <w:left w:w="100"/>
              <w:right w:w="100"/>
            </w:tcMar>
          </w:tcPr>
          <w:p>
            <w:r>
              <w:rPr>
                <w:sz w:val="17"/>
              </w:rPr>
              <w:t>1,869 (26.54%)</w:t>
            </w:r>
          </w:p>
        </w:tc>
        <w:tc>
          <w:tcPr>
            <w:tcMar>
              <w:top w:w="60"/>
              <w:bottom w:w="60"/>
              <w:left w:w="100"/>
              <w:right w:w="100"/>
            </w:tcMar>
          </w:tcPr>
          <w:p>
            <w:r>
              <w:rPr>
                <w:sz w:val="17"/>
              </w:rPr>
              <w:t>4,000 (50.00%)</w:t>
            </w:r>
          </w:p>
        </w:tc>
      </w:tr>
      <w:tr>
        <w:tc>
          <w:tcPr>
            <w:tcMar>
              <w:top w:w="60"/>
              <w:bottom w:w="60"/>
              <w:left w:w="100"/>
              <w:right w:w="100"/>
            </w:tcMar>
          </w:tcPr>
          <w:p>
            <w:r>
              <w:rPr>
                <w:sz w:val="17"/>
              </w:rPr>
              <w:t>Raw Feature Count</w:t>
            </w:r>
          </w:p>
        </w:tc>
        <w:tc>
          <w:tcPr>
            <w:tcMar>
              <w:top w:w="60"/>
              <w:bottom w:w="60"/>
              <w:left w:w="100"/>
              <w:right w:w="100"/>
            </w:tcMar>
          </w:tcPr>
          <w:p>
            <w:r>
              <w:rPr>
                <w:sz w:val="17"/>
              </w:rPr>
              <w:t>21</w:t>
            </w:r>
          </w:p>
        </w:tc>
        <w:tc>
          <w:tcPr>
            <w:tcMar>
              <w:top w:w="60"/>
              <w:bottom w:w="60"/>
              <w:left w:w="100"/>
              <w:right w:w="100"/>
            </w:tcMar>
          </w:tcPr>
          <w:p>
            <w:r>
              <w:rPr>
                <w:sz w:val="17"/>
              </w:rPr>
              <w:t>22</w:t>
            </w:r>
          </w:p>
        </w:tc>
      </w:tr>
      <w:tr>
        <w:tc>
          <w:tcPr>
            <w:tcMar>
              <w:top w:w="60"/>
              <w:bottom w:w="60"/>
              <w:left w:w="100"/>
              <w:right w:w="100"/>
            </w:tcMar>
          </w:tcPr>
          <w:p>
            <w:r>
              <w:rPr>
                <w:sz w:val="17"/>
              </w:rPr>
              <w:t>Engineered Feature Matrix</w:t>
            </w:r>
          </w:p>
        </w:tc>
        <w:tc>
          <w:tcPr>
            <w:tcMar>
              <w:top w:w="60"/>
              <w:bottom w:w="60"/>
              <w:left w:w="100"/>
              <w:right w:w="100"/>
            </w:tcMar>
          </w:tcPr>
          <w:p>
            <w:r>
              <w:rPr>
                <w:sz w:val="17"/>
              </w:rPr>
              <w:t>83</w:t>
            </w:r>
          </w:p>
        </w:tc>
        <w:tc>
          <w:tcPr>
            <w:tcMar>
              <w:top w:w="60"/>
              <w:bottom w:w="60"/>
              <w:left w:w="100"/>
              <w:right w:w="100"/>
            </w:tcMar>
          </w:tcPr>
          <w:p>
            <w:r>
              <w:rPr>
                <w:sz w:val="17"/>
              </w:rPr>
              <w:t>83</w:t>
            </w:r>
          </w:p>
        </w:tc>
      </w:tr>
      <w:tr>
        <w:tc>
          <w:tcPr>
            <w:tcMar>
              <w:top w:w="60"/>
              <w:bottom w:w="60"/>
              <w:left w:w="100"/>
              <w:right w:w="100"/>
            </w:tcMar>
          </w:tcPr>
          <w:p>
            <w:r>
              <w:rPr>
                <w:sz w:val="17"/>
              </w:rPr>
              <w:t>Missing Values</w:t>
            </w:r>
          </w:p>
        </w:tc>
        <w:tc>
          <w:tcPr>
            <w:tcMar>
              <w:top w:w="60"/>
              <w:bottom w:w="60"/>
              <w:left w:w="100"/>
              <w:right w:w="100"/>
            </w:tcMar>
          </w:tcPr>
          <w:p>
            <w:r>
              <w:rPr>
                <w:sz w:val="17"/>
              </w:rPr>
              <w:t>11 (TotalCharges)</w:t>
            </w:r>
          </w:p>
        </w:tc>
        <w:tc>
          <w:tcPr>
            <w:tcMar>
              <w:top w:w="60"/>
              <w:bottom w:w="60"/>
              <w:left w:w="100"/>
              <w:right w:w="100"/>
            </w:tcMar>
          </w:tcPr>
          <w:p>
            <w:r>
              <w:rPr>
                <w:sz w:val="17"/>
              </w:rPr>
              <w:t>None</w:t>
            </w:r>
          </w:p>
        </w:tc>
      </w:tr>
      <w:tr>
        <w:tc>
          <w:tcPr>
            <w:tcMar>
              <w:top w:w="60"/>
              <w:bottom w:w="60"/>
              <w:left w:w="100"/>
              <w:right w:w="100"/>
            </w:tcMar>
          </w:tcPr>
          <w:p>
            <w:r>
              <w:rPr>
                <w:sz w:val="17"/>
              </w:rPr>
              <w:t>Class Imbalance Ratio</w:t>
            </w:r>
          </w:p>
        </w:tc>
        <w:tc>
          <w:tcPr>
            <w:tcMar>
              <w:top w:w="60"/>
              <w:bottom w:w="60"/>
              <w:left w:w="100"/>
              <w:right w:w="100"/>
            </w:tcMar>
          </w:tcPr>
          <w:p>
            <w:r>
              <w:rPr>
                <w:sz w:val="17"/>
              </w:rPr>
              <w:t>2.77 : 1</w:t>
            </w:r>
          </w:p>
        </w:tc>
        <w:tc>
          <w:tcPr>
            <w:tcMar>
              <w:top w:w="60"/>
              <w:bottom w:w="60"/>
              <w:left w:w="100"/>
              <w:right w:w="100"/>
            </w:tcMar>
          </w:tcPr>
          <w:p>
            <w:r>
              <w:rPr>
                <w:sz w:val="17"/>
              </w:rPr>
              <w:t>1.00 : 1</w:t>
            </w:r>
          </w:p>
        </w:tc>
      </w:tr>
    </w:tbl>
    <w:p>
      <w:pPr>
        <w:spacing w:after="160"/>
      </w:pPr>
    </w:p>
    <w:p>
      <w:pPr>
        <w:jc w:val="center"/>
        <w:spacing w:before="160" w:after="60"/>
      </w:pPr>
      <w:r>
        <w:rPr>
          <w:b/>
          <w:caps/>
          <w:sz w:val="18"/>
        </w:rPr>
        <w:t>TABLE II: FEATURE DESCRIPTION AND MINIMAL INPUT MAPPING</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Feature Name</w:t>
            </w:r>
          </w:p>
        </w:tc>
        <w:tc>
          <w:tcPr>
            <w:shd w:val="clear" w:color="auto" w:fill="F2F4F7"/>
            <w:tcMar>
              <w:top w:w="80"/>
              <w:bottom w:w="80"/>
              <w:left w:w="120"/>
              <w:right w:w="120"/>
            </w:tcMar>
          </w:tcPr>
          <w:p>
            <w:pPr>
              <w:jc w:val="center"/>
            </w:pPr>
            <w:r>
              <w:rPr>
                <w:b/>
                <w:sz w:val="17"/>
              </w:rPr>
              <w:t>Description / Values</w:t>
            </w:r>
          </w:p>
        </w:tc>
        <w:tc>
          <w:tcPr>
            <w:shd w:val="clear" w:color="auto" w:fill="F2F4F7"/>
            <w:tcMar>
              <w:top w:w="80"/>
              <w:bottom w:w="80"/>
              <w:left w:w="120"/>
              <w:right w:w="120"/>
            </w:tcMar>
          </w:tcPr>
          <w:p>
            <w:pPr>
              <w:jc w:val="center"/>
            </w:pPr>
            <w:r>
              <w:rPr>
                <w:b/>
                <w:sz w:val="17"/>
              </w:rPr>
              <w:t>Type</w:t>
            </w:r>
          </w:p>
        </w:tc>
      </w:tr>
      <w:tr>
        <w:tc>
          <w:tcPr>
            <w:tcMar>
              <w:top w:w="60"/>
              <w:bottom w:w="60"/>
              <w:left w:w="100"/>
              <w:right w:w="100"/>
            </w:tcMar>
          </w:tcPr>
          <w:p>
            <w:r>
              <w:rPr>
                <w:sz w:val="17"/>
              </w:rPr>
              <w:t>tenure</w:t>
            </w:r>
          </w:p>
        </w:tc>
        <w:tc>
          <w:tcPr>
            <w:tcMar>
              <w:top w:w="60"/>
              <w:bottom w:w="60"/>
              <w:left w:w="100"/>
              <w:right w:w="100"/>
            </w:tcMar>
          </w:tcPr>
          <w:p>
            <w:r>
              <w:rPr>
                <w:sz w:val="17"/>
              </w:rPr>
              <w:t>Months subscribed (0-72)</w:t>
            </w:r>
          </w:p>
        </w:tc>
        <w:tc>
          <w:tcPr>
            <w:tcMar>
              <w:top w:w="60"/>
              <w:bottom w:w="60"/>
              <w:left w:w="100"/>
              <w:right w:w="100"/>
            </w:tcMar>
          </w:tcPr>
          <w:p>
            <w:r>
              <w:rPr>
                <w:sz w:val="17"/>
              </w:rPr>
              <w:t>Continuous / User</w:t>
            </w:r>
          </w:p>
        </w:tc>
      </w:tr>
      <w:tr>
        <w:tc>
          <w:tcPr>
            <w:tcMar>
              <w:top w:w="60"/>
              <w:bottom w:w="60"/>
              <w:left w:w="100"/>
              <w:right w:w="100"/>
            </w:tcMar>
          </w:tcPr>
          <w:p>
            <w:r>
              <w:rPr>
                <w:sz w:val="17"/>
              </w:rPr>
              <w:t>MonthlyCharges</w:t>
            </w:r>
          </w:p>
        </w:tc>
        <w:tc>
          <w:tcPr>
            <w:tcMar>
              <w:top w:w="60"/>
              <w:bottom w:w="60"/>
              <w:left w:w="100"/>
              <w:right w:w="100"/>
            </w:tcMar>
          </w:tcPr>
          <w:p>
            <w:r>
              <w:rPr>
                <w:sz w:val="17"/>
              </w:rPr>
              <w:t>Current monthly bill amount</w:t>
            </w:r>
          </w:p>
        </w:tc>
        <w:tc>
          <w:tcPr>
            <w:tcMar>
              <w:top w:w="60"/>
              <w:bottom w:w="60"/>
              <w:left w:w="100"/>
              <w:right w:w="100"/>
            </w:tcMar>
          </w:tcPr>
          <w:p>
            <w:r>
              <w:rPr>
                <w:sz w:val="17"/>
              </w:rPr>
              <w:t>Continuous / User</w:t>
            </w:r>
          </w:p>
        </w:tc>
      </w:tr>
      <w:tr>
        <w:tc>
          <w:tcPr>
            <w:tcMar>
              <w:top w:w="60"/>
              <w:bottom w:w="60"/>
              <w:left w:w="100"/>
              <w:right w:w="100"/>
            </w:tcMar>
          </w:tcPr>
          <w:p>
            <w:r>
              <w:rPr>
                <w:sz w:val="17"/>
              </w:rPr>
              <w:t>TotalCharges</w:t>
            </w:r>
          </w:p>
        </w:tc>
        <w:tc>
          <w:tcPr>
            <w:tcMar>
              <w:top w:w="60"/>
              <w:bottom w:w="60"/>
              <w:left w:w="100"/>
              <w:right w:w="100"/>
            </w:tcMar>
          </w:tcPr>
          <w:p>
            <w:r>
              <w:rPr>
                <w:sz w:val="17"/>
              </w:rPr>
              <w:t>Cumulative bill amount</w:t>
            </w:r>
          </w:p>
        </w:tc>
        <w:tc>
          <w:tcPr>
            <w:tcMar>
              <w:top w:w="60"/>
              <w:bottom w:w="60"/>
              <w:left w:w="100"/>
              <w:right w:w="100"/>
            </w:tcMar>
          </w:tcPr>
          <w:p>
            <w:r>
              <w:rPr>
                <w:sz w:val="17"/>
              </w:rPr>
              <w:t>Continuous / User</w:t>
            </w:r>
          </w:p>
        </w:tc>
      </w:tr>
      <w:tr>
        <w:tc>
          <w:tcPr>
            <w:tcMar>
              <w:top w:w="60"/>
              <w:bottom w:w="60"/>
              <w:left w:w="100"/>
              <w:right w:w="100"/>
            </w:tcMar>
          </w:tcPr>
          <w:p>
            <w:r>
              <w:rPr>
                <w:sz w:val="17"/>
              </w:rPr>
              <w:t>Contract</w:t>
            </w:r>
          </w:p>
        </w:tc>
        <w:tc>
          <w:tcPr>
            <w:tcMar>
              <w:top w:w="60"/>
              <w:bottom w:w="60"/>
              <w:left w:w="100"/>
              <w:right w:w="100"/>
            </w:tcMar>
          </w:tcPr>
          <w:p>
            <w:r>
              <w:rPr>
                <w:sz w:val="17"/>
              </w:rPr>
              <w:t>Month-to-month, 1-yr, 2-yr</w:t>
            </w:r>
          </w:p>
        </w:tc>
        <w:tc>
          <w:tcPr>
            <w:tcMar>
              <w:top w:w="60"/>
              <w:bottom w:w="60"/>
              <w:left w:w="100"/>
              <w:right w:w="100"/>
            </w:tcMar>
          </w:tcPr>
          <w:p>
            <w:r>
              <w:rPr>
                <w:sz w:val="17"/>
              </w:rPr>
              <w:t>Categorical / User</w:t>
            </w:r>
          </w:p>
        </w:tc>
      </w:tr>
      <w:tr>
        <w:tc>
          <w:tcPr>
            <w:tcMar>
              <w:top w:w="60"/>
              <w:bottom w:w="60"/>
              <w:left w:w="100"/>
              <w:right w:w="100"/>
            </w:tcMar>
          </w:tcPr>
          <w:p>
            <w:r>
              <w:rPr>
                <w:sz w:val="17"/>
              </w:rPr>
              <w:t>PaymentMethod</w:t>
            </w:r>
          </w:p>
        </w:tc>
        <w:tc>
          <w:tcPr>
            <w:tcMar>
              <w:top w:w="60"/>
              <w:bottom w:w="60"/>
              <w:left w:w="100"/>
              <w:right w:w="100"/>
            </w:tcMar>
          </w:tcPr>
          <w:p>
            <w:r>
              <w:rPr>
                <w:sz w:val="17"/>
              </w:rPr>
              <w:t>E-check, Mailed, Bank, Card</w:t>
            </w:r>
          </w:p>
        </w:tc>
        <w:tc>
          <w:tcPr>
            <w:tcMar>
              <w:top w:w="60"/>
              <w:bottom w:w="60"/>
              <w:left w:w="100"/>
              <w:right w:w="100"/>
            </w:tcMar>
          </w:tcPr>
          <w:p>
            <w:r>
              <w:rPr>
                <w:sz w:val="17"/>
              </w:rPr>
              <w:t>Categorical / User</w:t>
            </w:r>
          </w:p>
        </w:tc>
      </w:tr>
      <w:tr>
        <w:tc>
          <w:tcPr>
            <w:tcMar>
              <w:top w:w="60"/>
              <w:bottom w:w="60"/>
              <w:left w:w="100"/>
              <w:right w:w="100"/>
            </w:tcMar>
          </w:tcPr>
          <w:p>
            <w:r>
              <w:rPr>
                <w:sz w:val="17"/>
              </w:rPr>
              <w:t>InternetService</w:t>
            </w:r>
          </w:p>
        </w:tc>
        <w:tc>
          <w:tcPr>
            <w:tcMar>
              <w:top w:w="60"/>
              <w:bottom w:w="60"/>
              <w:left w:w="100"/>
              <w:right w:w="100"/>
            </w:tcMar>
          </w:tcPr>
          <w:p>
            <w:r>
              <w:rPr>
                <w:sz w:val="17"/>
              </w:rPr>
              <w:t>DSL, Fiber optic, No</w:t>
            </w:r>
          </w:p>
        </w:tc>
        <w:tc>
          <w:tcPr>
            <w:tcMar>
              <w:top w:w="60"/>
              <w:bottom w:w="60"/>
              <w:left w:w="100"/>
              <w:right w:w="100"/>
            </w:tcMar>
          </w:tcPr>
          <w:p>
            <w:r>
              <w:rPr>
                <w:sz w:val="17"/>
              </w:rPr>
              <w:t>Categorical / User</w:t>
            </w:r>
          </w:p>
        </w:tc>
      </w:tr>
      <w:tr>
        <w:tc>
          <w:tcPr>
            <w:tcMar>
              <w:top w:w="60"/>
              <w:bottom w:w="60"/>
              <w:left w:w="100"/>
              <w:right w:w="100"/>
            </w:tcMar>
          </w:tcPr>
          <w:p>
            <w:r>
              <w:rPr>
                <w:sz w:val="17"/>
              </w:rPr>
              <w:t>ChargeIncrease</w:t>
            </w:r>
          </w:p>
        </w:tc>
        <w:tc>
          <w:tcPr>
            <w:tcMar>
              <w:top w:w="60"/>
              <w:bottom w:w="60"/>
              <w:left w:w="100"/>
              <w:right w:w="100"/>
            </w:tcMar>
          </w:tcPr>
          <w:p>
            <w:r>
              <w:rPr>
                <w:sz w:val="17"/>
              </w:rPr>
              <w:t>MonthlyCharges - AvgSpend</w:t>
            </w:r>
          </w:p>
        </w:tc>
        <w:tc>
          <w:tcPr>
            <w:tcMar>
              <w:top w:w="60"/>
              <w:bottom w:w="60"/>
              <w:left w:w="100"/>
              <w:right w:w="100"/>
            </w:tcMar>
          </w:tcPr>
          <w:p>
            <w:r>
              <w:rPr>
                <w:sz w:val="17"/>
              </w:rPr>
              <w:t>Engineered</w:t>
            </w:r>
          </w:p>
        </w:tc>
      </w:tr>
      <w:tr>
        <w:tc>
          <w:tcPr>
            <w:tcMar>
              <w:top w:w="60"/>
              <w:bottom w:w="60"/>
              <w:left w:w="100"/>
              <w:right w:w="100"/>
            </w:tcMar>
          </w:tcPr>
          <w:p>
            <w:r>
              <w:rPr>
                <w:sz w:val="17"/>
              </w:rPr>
              <w:t>HighRiskCombo</w:t>
            </w:r>
          </w:p>
        </w:tc>
        <w:tc>
          <w:tcPr>
            <w:tcMar>
              <w:top w:w="60"/>
              <w:bottom w:w="60"/>
              <w:left w:w="100"/>
              <w:right w:w="100"/>
            </w:tcMar>
          </w:tcPr>
          <w:p>
            <w:r>
              <w:rPr>
                <w:sz w:val="17"/>
              </w:rPr>
              <w:t>Month-to-month and E-check</w:t>
            </w:r>
          </w:p>
        </w:tc>
        <w:tc>
          <w:tcPr>
            <w:tcMar>
              <w:top w:w="60"/>
              <w:bottom w:w="60"/>
              <w:left w:w="100"/>
              <w:right w:w="100"/>
            </w:tcMar>
          </w:tcPr>
          <w:p>
            <w:r>
              <w:rPr>
                <w:sz w:val="17"/>
              </w:rPr>
              <w:t>Engineered</w:t>
            </w:r>
          </w:p>
        </w:tc>
      </w:tr>
      <w:tr>
        <w:tc>
          <w:tcPr>
            <w:tcMar>
              <w:top w:w="60"/>
              <w:bottom w:w="60"/>
              <w:left w:w="100"/>
              <w:right w:w="100"/>
            </w:tcMar>
          </w:tcPr>
          <w:p>
            <w:r>
              <w:rPr>
                <w:sz w:val="17"/>
              </w:rPr>
              <w:t>VeryHighRisk</w:t>
            </w:r>
          </w:p>
        </w:tc>
        <w:tc>
          <w:tcPr>
            <w:tcMar>
              <w:top w:w="60"/>
              <w:bottom w:w="60"/>
              <w:left w:w="100"/>
              <w:right w:w="100"/>
            </w:tcMar>
          </w:tcPr>
          <w:p>
            <w:r>
              <w:rPr>
                <w:sz w:val="17"/>
              </w:rPr>
              <w:t>HighRiskCombo and tenure &lt;= 12</w:t>
            </w:r>
          </w:p>
        </w:tc>
        <w:tc>
          <w:tcPr>
            <w:tcMar>
              <w:top w:w="60"/>
              <w:bottom w:w="60"/>
              <w:left w:w="100"/>
              <w:right w:w="100"/>
            </w:tcMar>
          </w:tcPr>
          <w:p>
            <w:r>
              <w:rPr>
                <w:sz w:val="17"/>
              </w:rPr>
              <w:t>Engineered</w:t>
            </w:r>
          </w:p>
        </w:tc>
      </w:tr>
      <w:tr>
        <w:tc>
          <w:tcPr>
            <w:tcMar>
              <w:top w:w="60"/>
              <w:bottom w:w="60"/>
              <w:left w:w="100"/>
              <w:right w:w="100"/>
            </w:tcMar>
          </w:tcPr>
          <w:p>
            <w:r>
              <w:rPr>
                <w:sz w:val="17"/>
              </w:rPr>
              <w:t>TenureSquared</w:t>
            </w:r>
          </w:p>
        </w:tc>
        <w:tc>
          <w:tcPr>
            <w:tcMar>
              <w:top w:w="60"/>
              <w:bottom w:w="60"/>
              <w:left w:w="100"/>
              <w:right w:w="100"/>
            </w:tcMar>
          </w:tcPr>
          <w:p>
            <w:r>
              <w:rPr>
                <w:sz w:val="17"/>
              </w:rPr>
              <w:t>tenure^2 non-linear term</w:t>
            </w:r>
          </w:p>
        </w:tc>
        <w:tc>
          <w:tcPr>
            <w:tcMar>
              <w:top w:w="60"/>
              <w:bottom w:w="60"/>
              <w:left w:w="100"/>
              <w:right w:w="100"/>
            </w:tcMar>
          </w:tcPr>
          <w:p>
            <w:r>
              <w:rPr>
                <w:sz w:val="17"/>
              </w:rPr>
              <w:t>Engineered</w:t>
            </w:r>
          </w:p>
        </w:tc>
      </w:tr>
    </w:tbl>
    <w:p>
      <w:pPr>
        <w:spacing w:after="160"/>
      </w:pPr>
    </w:p>
    <w:p>
      <w:pPr>
        <w:jc w:val="center"/>
        <w:spacing w:before="160" w:after="60"/>
      </w:pPr>
      <w:r>
        <w:rPr>
          <w:b/>
          <w:caps/>
          <w:sz w:val="18"/>
        </w:rPr>
        <w:t>TABLE III: MODEL HYPERPARAMETER CONFIGURATIONS</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Model</w:t>
            </w:r>
          </w:p>
        </w:tc>
        <w:tc>
          <w:tcPr>
            <w:shd w:val="clear" w:color="auto" w:fill="F2F4F7"/>
            <w:tcMar>
              <w:top w:w="80"/>
              <w:bottom w:w="80"/>
              <w:left w:w="120"/>
              <w:right w:w="120"/>
            </w:tcMar>
          </w:tcPr>
          <w:p>
            <w:pPr>
              <w:jc w:val="center"/>
            </w:pPr>
            <w:r>
              <w:rPr>
                <w:b/>
                <w:sz w:val="17"/>
              </w:rPr>
              <w:t>Verified Parameter Configuration</w:t>
            </w:r>
          </w:p>
        </w:tc>
      </w:tr>
      <w:tr>
        <w:tc>
          <w:tcPr>
            <w:tcMar>
              <w:top w:w="60"/>
              <w:bottom w:w="60"/>
              <w:left w:w="100"/>
              <w:right w:w="100"/>
            </w:tcMar>
          </w:tcPr>
          <w:p>
            <w:r>
              <w:rPr>
                <w:sz w:val="17"/>
              </w:rPr>
              <w:t>Random Forest</w:t>
            </w:r>
          </w:p>
        </w:tc>
        <w:tc>
          <w:tcPr>
            <w:tcMar>
              <w:top w:w="60"/>
              <w:bottom w:w="60"/>
              <w:left w:w="100"/>
              <w:right w:w="100"/>
            </w:tcMar>
          </w:tcPr>
          <w:p>
            <w:r>
              <w:rPr>
                <w:sz w:val="17"/>
              </w:rPr>
              <w:t>n_estimators=232, max_depth=21, min_samples_split=5, min_samples_leaf=9, max_features='sqrt', class_weight='balanced_subsample'</w:t>
            </w:r>
          </w:p>
        </w:tc>
      </w:tr>
      <w:tr>
        <w:tc>
          <w:tcPr>
            <w:tcMar>
              <w:top w:w="60"/>
              <w:bottom w:w="60"/>
              <w:left w:w="100"/>
              <w:right w:w="100"/>
            </w:tcMar>
          </w:tcPr>
          <w:p>
            <w:r>
              <w:rPr>
                <w:sz w:val="17"/>
              </w:rPr>
              <w:t>XGBoost</w:t>
            </w:r>
          </w:p>
        </w:tc>
        <w:tc>
          <w:tcPr>
            <w:tcMar>
              <w:top w:w="60"/>
              <w:bottom w:w="60"/>
              <w:left w:w="100"/>
              <w:right w:w="100"/>
            </w:tcMar>
          </w:tcPr>
          <w:p>
            <w:r>
              <w:rPr>
                <w:sz w:val="17"/>
              </w:rPr>
              <w:t>n_estimators=482, max_depth=4, learning_rate=0.0259, subsample=0.7642, colsample_bytree=0.6601, reg_alpha=1.5346, reg_lambda=0.5437</w:t>
            </w:r>
          </w:p>
        </w:tc>
      </w:tr>
      <w:tr>
        <w:tc>
          <w:tcPr>
            <w:tcMar>
              <w:top w:w="60"/>
              <w:bottom w:w="60"/>
              <w:left w:w="100"/>
              <w:right w:w="100"/>
            </w:tcMar>
          </w:tcPr>
          <w:p>
            <w:r>
              <w:rPr>
                <w:sz w:val="17"/>
              </w:rPr>
              <w:t>LightGBM</w:t>
            </w:r>
          </w:p>
        </w:tc>
        <w:tc>
          <w:tcPr>
            <w:tcMar>
              <w:top w:w="60"/>
              <w:bottom w:w="60"/>
              <w:left w:w="100"/>
              <w:right w:w="100"/>
            </w:tcMar>
          </w:tcPr>
          <w:p>
            <w:r>
              <w:rPr>
                <w:sz w:val="17"/>
              </w:rPr>
              <w:t>n_estimators=300, max_depth=3, num_leaves=38, learning_rate=0.0122, min_child_samples=41, subsample=0.6926, colsample_bytree=0.7035</w:t>
            </w:r>
          </w:p>
        </w:tc>
      </w:tr>
      <w:tr>
        <w:tc>
          <w:tcPr>
            <w:tcMar>
              <w:top w:w="60"/>
              <w:bottom w:w="60"/>
              <w:left w:w="100"/>
              <w:right w:w="100"/>
            </w:tcMar>
          </w:tcPr>
          <w:p>
            <w:r>
              <w:rPr>
                <w:sz w:val="17"/>
              </w:rPr>
              <w:t>Stacking Meta</w:t>
            </w:r>
          </w:p>
        </w:tc>
        <w:tc>
          <w:tcPr>
            <w:tcMar>
              <w:top w:w="60"/>
              <w:bottom w:w="60"/>
              <w:left w:w="100"/>
              <w:right w:w="100"/>
            </w:tcMar>
          </w:tcPr>
          <w:p>
            <w:r>
              <w:rPr>
                <w:sz w:val="17"/>
              </w:rPr>
              <w:t>Logistic Regression: C=1.0, penalty=l2, solver='lbfgs'. Inputs: Out-of-fold probabilities [P_RF, P_XGB, P_LGBM]</w:t>
            </w:r>
          </w:p>
        </w:tc>
      </w:tr>
    </w:tbl>
    <w:p>
      <w:pPr>
        <w:spacing w:after="160"/>
      </w:pPr>
    </w:p>
    <w:p>
      <w:pPr>
        <w:pStyle w:val="Heading1"/>
        <w:jc w:val="center"/>
        <w:spacing w:before="240" w:after="100"/>
      </w:pPr>
      <w:r>
        <w:rPr>
          <w:b/>
          <w:caps/>
          <w:sz w:val="22"/>
        </w:rPr>
        <w:t>VI. RESULTS AND DISCUSSION</w:t>
      </w:r>
    </w:p>
    <w:p>
      <w:pPr>
        <w:jc w:val="both"/>
        <w:ind w:firstLine="280"/>
      </w:pPr>
      <w:r>
        <w:rPr>
          <w:sz w:val="20"/>
          <w:szCs w:val="20"/>
        </w:rPr>
        <w:t xml:space="preserve">Table IV and Fig. 5 compare model performance on the held-out test set (N=1,409). The Stacking Ensemble achieves the highest recall among all models at 79.68% (0.7622 accuracy, 0.8460 ROC-AUC, 0.6522 PR-AUC).</w:t>
      </w:r>
    </w:p>
    <w:p>
      <w:pPr>
        <w:jc w:val="center"/>
        <w:spacing w:before="160" w:after="60"/>
      </w:pPr>
      <w:r>
        <w:rPr>
          <w:b/>
          <w:caps/>
          <w:sz w:val="18"/>
        </w:rPr>
        <w:t>TABLE IV: PERFORMANCE COMPARISON OF CHURN PREDICTION MODELS (TEST SET, N=1,409)</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Model Architecture</w:t>
            </w:r>
          </w:p>
        </w:tc>
        <w:tc>
          <w:tcPr>
            <w:shd w:val="clear" w:color="auto" w:fill="F2F4F7"/>
            <w:tcMar>
              <w:top w:w="80"/>
              <w:bottom w:w="80"/>
              <w:left w:w="120"/>
              <w:right w:w="120"/>
            </w:tcMar>
          </w:tcPr>
          <w:p>
            <w:pPr>
              <w:jc w:val="center"/>
            </w:pPr>
            <w:r>
              <w:rPr>
                <w:b/>
                <w:sz w:val="17"/>
              </w:rPr>
              <w:t>Accuracy</w:t>
            </w:r>
          </w:p>
        </w:tc>
        <w:tc>
          <w:tcPr>
            <w:shd w:val="clear" w:color="auto" w:fill="F2F4F7"/>
            <w:tcMar>
              <w:top w:w="80"/>
              <w:bottom w:w="80"/>
              <w:left w:w="120"/>
              <w:right w:w="120"/>
            </w:tcMar>
          </w:tcPr>
          <w:p>
            <w:pPr>
              <w:jc w:val="center"/>
            </w:pPr>
            <w:r>
              <w:rPr>
                <w:b/>
                <w:sz w:val="17"/>
              </w:rPr>
              <w:t>Precision</w:t>
            </w:r>
          </w:p>
        </w:tc>
        <w:tc>
          <w:tcPr>
            <w:shd w:val="clear" w:color="auto" w:fill="F2F4F7"/>
            <w:tcMar>
              <w:top w:w="80"/>
              <w:bottom w:w="80"/>
              <w:left w:w="120"/>
              <w:right w:w="120"/>
            </w:tcMar>
          </w:tcPr>
          <w:p>
            <w:pPr>
              <w:jc w:val="center"/>
            </w:pPr>
            <w:r>
              <w:rPr>
                <w:b/>
                <w:sz w:val="17"/>
              </w:rPr>
              <w:t>Recall</w:t>
            </w:r>
          </w:p>
        </w:tc>
        <w:tc>
          <w:tcPr>
            <w:shd w:val="clear" w:color="auto" w:fill="F2F4F7"/>
            <w:tcMar>
              <w:top w:w="80"/>
              <w:bottom w:w="80"/>
              <w:left w:w="120"/>
              <w:right w:w="120"/>
            </w:tcMar>
          </w:tcPr>
          <w:p>
            <w:pPr>
              <w:jc w:val="center"/>
            </w:pPr>
            <w:r>
              <w:rPr>
                <w:b/>
                <w:sz w:val="17"/>
              </w:rPr>
              <w:t>F1-Score</w:t>
            </w:r>
          </w:p>
        </w:tc>
        <w:tc>
          <w:tcPr>
            <w:shd w:val="clear" w:color="auto" w:fill="F2F4F7"/>
            <w:tcMar>
              <w:top w:w="80"/>
              <w:bottom w:w="80"/>
              <w:left w:w="120"/>
              <w:right w:w="120"/>
            </w:tcMar>
          </w:tcPr>
          <w:p>
            <w:pPr>
              <w:jc w:val="center"/>
            </w:pPr>
            <w:r>
              <w:rPr>
                <w:b/>
                <w:sz w:val="17"/>
              </w:rPr>
              <w:t>ROC-AUC</w:t>
            </w:r>
          </w:p>
        </w:tc>
        <w:tc>
          <w:tcPr>
            <w:shd w:val="clear" w:color="auto" w:fill="F2F4F7"/>
            <w:tcMar>
              <w:top w:w="80"/>
              <w:bottom w:w="80"/>
              <w:left w:w="120"/>
              <w:right w:w="120"/>
            </w:tcMar>
          </w:tcPr>
          <w:p>
            <w:pPr>
              <w:jc w:val="center"/>
            </w:pPr>
            <w:r>
              <w:rPr>
                <w:b/>
                <w:sz w:val="17"/>
              </w:rPr>
              <w:t>PR-AUC</w:t>
            </w:r>
          </w:p>
        </w:tc>
        <w:tc>
          <w:tcPr>
            <w:shd w:val="clear" w:color="auto" w:fill="F2F4F7"/>
            <w:tcMar>
              <w:top w:w="80"/>
              <w:bottom w:w="80"/>
              <w:left w:w="120"/>
              <w:right w:w="120"/>
            </w:tcMar>
          </w:tcPr>
          <w:p>
            <w:pPr>
              <w:jc w:val="center"/>
            </w:pPr>
            <w:r>
              <w:rPr>
                <w:b/>
                <w:sz w:val="17"/>
              </w:rPr>
              <w:t>Brier</w:t>
            </w:r>
          </w:p>
        </w:tc>
        <w:tc>
          <w:tcPr>
            <w:shd w:val="clear" w:color="auto" w:fill="F2F4F7"/>
            <w:tcMar>
              <w:top w:w="80"/>
              <w:bottom w:w="80"/>
              <w:left w:w="120"/>
              <w:right w:w="120"/>
            </w:tcMar>
          </w:tcPr>
          <w:p>
            <w:pPr>
              <w:jc w:val="center"/>
            </w:pPr>
            <w:r>
              <w:rPr>
                <w:b/>
                <w:sz w:val="17"/>
              </w:rPr>
              <w:t>Threshold</w:t>
            </w:r>
          </w:p>
        </w:tc>
      </w:tr>
      <w:tr>
        <w:tc>
          <w:tcPr>
            <w:tcMar>
              <w:top w:w="60"/>
              <w:bottom w:w="60"/>
              <w:left w:w="100"/>
              <w:right w:w="100"/>
            </w:tcMar>
          </w:tcPr>
          <w:p>
            <w:r>
              <w:rPr>
                <w:sz w:val="17"/>
              </w:rPr>
              <w:t>Random Forest</w:t>
            </w:r>
          </w:p>
        </w:tc>
        <w:tc>
          <w:tcPr>
            <w:tcMar>
              <w:top w:w="60"/>
              <w:bottom w:w="60"/>
              <w:left w:w="100"/>
              <w:right w:w="100"/>
            </w:tcMar>
          </w:tcPr>
          <w:p>
            <w:r>
              <w:rPr>
                <w:sz w:val="17"/>
              </w:rPr>
              <w:t>0.7736</w:t>
            </w:r>
          </w:p>
        </w:tc>
        <w:tc>
          <w:tcPr>
            <w:tcMar>
              <w:top w:w="60"/>
              <w:bottom w:w="60"/>
              <w:left w:w="100"/>
              <w:right w:w="100"/>
            </w:tcMar>
          </w:tcPr>
          <w:p>
            <w:r>
              <w:rPr>
                <w:sz w:val="17"/>
              </w:rPr>
              <w:t>0.5536</w:t>
            </w:r>
          </w:p>
        </w:tc>
        <w:tc>
          <w:tcPr>
            <w:tcMar>
              <w:top w:w="60"/>
              <w:bottom w:w="60"/>
              <w:left w:w="100"/>
              <w:right w:w="100"/>
            </w:tcMar>
          </w:tcPr>
          <w:p>
            <w:r>
              <w:rPr>
                <w:sz w:val="17"/>
              </w:rPr>
              <w:t>0.7594</w:t>
            </w:r>
          </w:p>
        </w:tc>
        <w:tc>
          <w:tcPr>
            <w:tcMar>
              <w:top w:w="60"/>
              <w:bottom w:w="60"/>
              <w:left w:w="100"/>
              <w:right w:w="100"/>
            </w:tcMar>
          </w:tcPr>
          <w:p>
            <w:r>
              <w:rPr>
                <w:sz w:val="17"/>
              </w:rPr>
              <w:t>0.6404</w:t>
            </w:r>
          </w:p>
        </w:tc>
        <w:tc>
          <w:tcPr>
            <w:tcMar>
              <w:top w:w="60"/>
              <w:bottom w:w="60"/>
              <w:left w:w="100"/>
              <w:right w:w="100"/>
            </w:tcMar>
          </w:tcPr>
          <w:p>
            <w:r>
              <w:rPr>
                <w:sz w:val="17"/>
              </w:rPr>
              <w:t>0.8451</w:t>
            </w:r>
          </w:p>
        </w:tc>
        <w:tc>
          <w:tcPr>
            <w:tcMar>
              <w:top w:w="60"/>
              <w:bottom w:w="60"/>
              <w:left w:w="100"/>
              <w:right w:w="100"/>
            </w:tcMar>
          </w:tcPr>
          <w:p>
            <w:r>
              <w:rPr>
                <w:sz w:val="17"/>
              </w:rPr>
              <w:t>0.6477</w:t>
            </w:r>
          </w:p>
        </w:tc>
        <w:tc>
          <w:tcPr>
            <w:tcMar>
              <w:top w:w="60"/>
              <w:bottom w:w="60"/>
              <w:left w:w="100"/>
              <w:right w:w="100"/>
            </w:tcMar>
          </w:tcPr>
          <w:p>
            <w:r>
              <w:rPr>
                <w:sz w:val="17"/>
              </w:rPr>
              <w:t>0.1530</w:t>
            </w:r>
          </w:p>
        </w:tc>
        <w:tc>
          <w:tcPr>
            <w:tcMar>
              <w:top w:w="60"/>
              <w:bottom w:w="60"/>
              <w:left w:w="100"/>
              <w:right w:w="100"/>
            </w:tcMar>
          </w:tcPr>
          <w:p>
            <w:r>
              <w:rPr>
                <w:sz w:val="17"/>
              </w:rPr>
              <w:t>0.50</w:t>
            </w:r>
          </w:p>
        </w:tc>
      </w:tr>
      <w:tr>
        <w:tc>
          <w:tcPr>
            <w:tcMar>
              <w:top w:w="60"/>
              <w:bottom w:w="60"/>
              <w:left w:w="100"/>
              <w:right w:w="100"/>
            </w:tcMar>
          </w:tcPr>
          <w:p>
            <w:r>
              <w:rPr>
                <w:sz w:val="17"/>
              </w:rPr>
              <w:t>XGBoost</w:t>
            </w:r>
          </w:p>
        </w:tc>
        <w:tc>
          <w:tcPr>
            <w:tcMar>
              <w:top w:w="60"/>
              <w:bottom w:w="60"/>
              <w:left w:w="100"/>
              <w:right w:w="100"/>
            </w:tcMar>
          </w:tcPr>
          <w:p>
            <w:r>
              <w:rPr>
                <w:sz w:val="17"/>
              </w:rPr>
              <w:t>0.7637</w:t>
            </w:r>
          </w:p>
        </w:tc>
        <w:tc>
          <w:tcPr>
            <w:tcMar>
              <w:top w:w="60"/>
              <w:bottom w:w="60"/>
              <w:left w:w="100"/>
              <w:right w:w="100"/>
            </w:tcMar>
          </w:tcPr>
          <w:p>
            <w:r>
              <w:rPr>
                <w:sz w:val="17"/>
              </w:rPr>
              <w:t>0.5397</w:t>
            </w:r>
          </w:p>
        </w:tc>
        <w:tc>
          <w:tcPr>
            <w:tcMar>
              <w:top w:w="60"/>
              <w:bottom w:w="60"/>
              <w:left w:w="100"/>
              <w:right w:w="100"/>
            </w:tcMar>
          </w:tcPr>
          <w:p>
            <w:r>
              <w:rPr>
                <w:sz w:val="17"/>
              </w:rPr>
              <w:t>0.7460</w:t>
            </w:r>
          </w:p>
        </w:tc>
        <w:tc>
          <w:tcPr>
            <w:tcMar>
              <w:top w:w="60"/>
              <w:bottom w:w="60"/>
              <w:left w:w="100"/>
              <w:right w:w="100"/>
            </w:tcMar>
          </w:tcPr>
          <w:p>
            <w:r>
              <w:rPr>
                <w:sz w:val="17"/>
              </w:rPr>
              <w:t>0.6263</w:t>
            </w:r>
          </w:p>
        </w:tc>
        <w:tc>
          <w:tcPr>
            <w:tcMar>
              <w:top w:w="60"/>
              <w:bottom w:w="60"/>
              <w:left w:w="100"/>
              <w:right w:w="100"/>
            </w:tcMar>
          </w:tcPr>
          <w:p>
            <w:r>
              <w:rPr>
                <w:sz w:val="17"/>
              </w:rPr>
              <w:t>0.8439</w:t>
            </w:r>
          </w:p>
        </w:tc>
        <w:tc>
          <w:tcPr>
            <w:tcMar>
              <w:top w:w="60"/>
              <w:bottom w:w="60"/>
              <w:left w:w="100"/>
              <w:right w:w="100"/>
            </w:tcMar>
          </w:tcPr>
          <w:p>
            <w:r>
              <w:rPr>
                <w:sz w:val="17"/>
              </w:rPr>
              <w:t>0.6563</w:t>
            </w:r>
          </w:p>
        </w:tc>
        <w:tc>
          <w:tcPr>
            <w:tcMar>
              <w:top w:w="60"/>
              <w:bottom w:w="60"/>
              <w:left w:w="100"/>
              <w:right w:w="100"/>
            </w:tcMar>
          </w:tcPr>
          <w:p>
            <w:r>
              <w:rPr>
                <w:sz w:val="17"/>
              </w:rPr>
              <w:t>0.1528</w:t>
            </w:r>
          </w:p>
        </w:tc>
        <w:tc>
          <w:tcPr>
            <w:tcMar>
              <w:top w:w="60"/>
              <w:bottom w:w="60"/>
              <w:left w:w="100"/>
              <w:right w:w="100"/>
            </w:tcMar>
          </w:tcPr>
          <w:p>
            <w:r>
              <w:rPr>
                <w:sz w:val="17"/>
              </w:rPr>
              <w:t>0.50</w:t>
            </w:r>
          </w:p>
        </w:tc>
      </w:tr>
      <w:tr>
        <w:tc>
          <w:tcPr>
            <w:tcMar>
              <w:top w:w="60"/>
              <w:bottom w:w="60"/>
              <w:left w:w="100"/>
              <w:right w:w="100"/>
            </w:tcMar>
          </w:tcPr>
          <w:p>
            <w:r>
              <w:rPr>
                <w:sz w:val="17"/>
              </w:rPr>
              <w:t>LightGBM</w:t>
            </w:r>
          </w:p>
        </w:tc>
        <w:tc>
          <w:tcPr>
            <w:tcMar>
              <w:top w:w="60"/>
              <w:bottom w:w="60"/>
              <w:left w:w="100"/>
              <w:right w:w="100"/>
            </w:tcMar>
          </w:tcPr>
          <w:p>
            <w:r>
              <w:rPr>
                <w:sz w:val="17"/>
              </w:rPr>
              <w:t>0.7693</w:t>
            </w:r>
          </w:p>
        </w:tc>
        <w:tc>
          <w:tcPr>
            <w:tcMar>
              <w:top w:w="60"/>
              <w:bottom w:w="60"/>
              <w:left w:w="100"/>
              <w:right w:w="100"/>
            </w:tcMar>
          </w:tcPr>
          <w:p>
            <w:r>
              <w:rPr>
                <w:sz w:val="17"/>
              </w:rPr>
              <w:t>0.5518</w:t>
            </w:r>
          </w:p>
        </w:tc>
        <w:tc>
          <w:tcPr>
            <w:tcMar>
              <w:top w:w="60"/>
              <w:bottom w:w="60"/>
              <w:left w:w="100"/>
              <w:right w:w="100"/>
            </w:tcMar>
          </w:tcPr>
          <w:p>
            <w:r>
              <w:rPr>
                <w:sz w:val="17"/>
              </w:rPr>
              <w:t>0.6979</w:t>
            </w:r>
          </w:p>
        </w:tc>
        <w:tc>
          <w:tcPr>
            <w:tcMar>
              <w:top w:w="60"/>
              <w:bottom w:w="60"/>
              <w:left w:w="100"/>
              <w:right w:w="100"/>
            </w:tcMar>
          </w:tcPr>
          <w:p>
            <w:r>
              <w:rPr>
                <w:sz w:val="17"/>
              </w:rPr>
              <w:t>0.6163</w:t>
            </w:r>
          </w:p>
        </w:tc>
        <w:tc>
          <w:tcPr>
            <w:tcMar>
              <w:top w:w="60"/>
              <w:bottom w:w="60"/>
              <w:left w:w="100"/>
              <w:right w:w="100"/>
            </w:tcMar>
          </w:tcPr>
          <w:p>
            <w:r>
              <w:rPr>
                <w:sz w:val="17"/>
              </w:rPr>
              <w:t>0.8422</w:t>
            </w:r>
          </w:p>
        </w:tc>
        <w:tc>
          <w:tcPr>
            <w:tcMar>
              <w:top w:w="60"/>
              <w:bottom w:w="60"/>
              <w:left w:w="100"/>
              <w:right w:w="100"/>
            </w:tcMar>
          </w:tcPr>
          <w:p>
            <w:r>
              <w:rPr>
                <w:sz w:val="17"/>
              </w:rPr>
              <w:t>0.6484</w:t>
            </w:r>
          </w:p>
        </w:tc>
        <w:tc>
          <w:tcPr>
            <w:tcMar>
              <w:top w:w="60"/>
              <w:bottom w:w="60"/>
              <w:left w:w="100"/>
              <w:right w:w="100"/>
            </w:tcMar>
          </w:tcPr>
          <w:p>
            <w:r>
              <w:rPr>
                <w:sz w:val="17"/>
              </w:rPr>
              <w:t>0.1473</w:t>
            </w:r>
          </w:p>
        </w:tc>
        <w:tc>
          <w:tcPr>
            <w:tcMar>
              <w:top w:w="60"/>
              <w:bottom w:w="60"/>
              <w:left w:w="100"/>
              <w:right w:w="100"/>
            </w:tcMar>
          </w:tcPr>
          <w:p>
            <w:r>
              <w:rPr>
                <w:sz w:val="17"/>
              </w:rPr>
              <w:t>0.50</w:t>
            </w:r>
          </w:p>
        </w:tc>
      </w:tr>
      <w:tr>
        <w:tc>
          <w:tcPr>
            <w:tcMar>
              <w:top w:w="60"/>
              <w:bottom w:w="60"/>
              <w:left w:w="100"/>
              <w:right w:w="100"/>
            </w:tcMar>
          </w:tcPr>
          <w:p>
            <w:r>
              <w:rPr>
                <w:sz w:val="17"/>
              </w:rPr>
              <w:t>Stacking Ensemble (Proposed)</w:t>
            </w:r>
          </w:p>
        </w:tc>
        <w:tc>
          <w:tcPr>
            <w:tcMar>
              <w:top w:w="60"/>
              <w:bottom w:w="60"/>
              <w:left w:w="100"/>
              <w:right w:w="100"/>
            </w:tcMar>
          </w:tcPr>
          <w:p>
            <w:r>
              <w:rPr>
                <w:sz w:val="17"/>
              </w:rPr>
              <w:t>0.7622</w:t>
            </w:r>
          </w:p>
        </w:tc>
        <w:tc>
          <w:tcPr>
            <w:tcMar>
              <w:top w:w="60"/>
              <w:bottom w:w="60"/>
              <w:left w:w="100"/>
              <w:right w:w="100"/>
            </w:tcMar>
          </w:tcPr>
          <w:p>
            <w:r>
              <w:rPr>
                <w:sz w:val="17"/>
              </w:rPr>
              <w:t>0.5350</w:t>
            </w:r>
          </w:p>
        </w:tc>
        <w:tc>
          <w:tcPr>
            <w:tcMar>
              <w:top w:w="60"/>
              <w:bottom w:w="60"/>
              <w:left w:w="100"/>
              <w:right w:w="100"/>
            </w:tcMar>
          </w:tcPr>
          <w:p>
            <w:r>
              <w:rPr>
                <w:sz w:val="17"/>
              </w:rPr>
              <w:t>0.7968</w:t>
            </w:r>
          </w:p>
        </w:tc>
        <w:tc>
          <w:tcPr>
            <w:tcMar>
              <w:top w:w="60"/>
              <w:bottom w:w="60"/>
              <w:left w:w="100"/>
              <w:right w:w="100"/>
            </w:tcMar>
          </w:tcPr>
          <w:p>
            <w:r>
              <w:rPr>
                <w:sz w:val="17"/>
              </w:rPr>
              <w:t>0.6402</w:t>
            </w:r>
          </w:p>
        </w:tc>
        <w:tc>
          <w:tcPr>
            <w:tcMar>
              <w:top w:w="60"/>
              <w:bottom w:w="60"/>
              <w:left w:w="100"/>
              <w:right w:w="100"/>
            </w:tcMar>
          </w:tcPr>
          <w:p>
            <w:r>
              <w:rPr>
                <w:sz w:val="17"/>
              </w:rPr>
              <w:t>0.8460</w:t>
            </w:r>
          </w:p>
        </w:tc>
        <w:tc>
          <w:tcPr>
            <w:tcMar>
              <w:top w:w="60"/>
              <w:bottom w:w="60"/>
              <w:left w:w="100"/>
              <w:right w:w="100"/>
            </w:tcMar>
          </w:tcPr>
          <w:p>
            <w:r>
              <w:rPr>
                <w:sz w:val="17"/>
              </w:rPr>
              <w:t>0.6522</w:t>
            </w:r>
          </w:p>
        </w:tc>
        <w:tc>
          <w:tcPr>
            <w:tcMar>
              <w:top w:w="60"/>
              <w:bottom w:w="60"/>
              <w:left w:w="100"/>
              <w:right w:w="100"/>
            </w:tcMar>
          </w:tcPr>
          <w:p>
            <w:r>
              <w:rPr>
                <w:sz w:val="17"/>
              </w:rPr>
              <w:t>0.1660</w:t>
            </w:r>
          </w:p>
        </w:tc>
        <w:tc>
          <w:tcPr>
            <w:tcMar>
              <w:top w:w="60"/>
              <w:bottom w:w="60"/>
              <w:left w:w="100"/>
              <w:right w:w="100"/>
            </w:tcMar>
          </w:tcPr>
          <w:p>
            <w:r>
              <w:rPr>
                <w:sz w:val="17"/>
              </w:rPr>
              <w:t>0.50</w:t>
            </w:r>
          </w:p>
        </w:tc>
      </w:tr>
      <w:tr>
        <w:tc>
          <w:tcPr>
            <w:tcMar>
              <w:top w:w="60"/>
              <w:bottom w:w="60"/>
              <w:left w:w="100"/>
              <w:right w:w="100"/>
            </w:tcMar>
          </w:tcPr>
          <w:p>
            <w:r>
              <w:rPr>
                <w:sz w:val="17"/>
              </w:rPr>
              <w:t>Stacking (tau=0.29 Recall-Opt)</w:t>
            </w:r>
          </w:p>
        </w:tc>
        <w:tc>
          <w:tcPr>
            <w:tcMar>
              <w:top w:w="60"/>
              <w:bottom w:w="60"/>
              <w:left w:w="100"/>
              <w:right w:w="100"/>
            </w:tcMar>
          </w:tcPr>
          <w:p>
            <w:r>
              <w:rPr>
                <w:sz w:val="17"/>
              </w:rPr>
              <w:t>0.6749</w:t>
            </w:r>
          </w:p>
        </w:tc>
        <w:tc>
          <w:tcPr>
            <w:tcMar>
              <w:top w:w="60"/>
              <w:bottom w:w="60"/>
              <w:left w:w="100"/>
              <w:right w:w="100"/>
            </w:tcMar>
          </w:tcPr>
          <w:p>
            <w:r>
              <w:rPr>
                <w:sz w:val="17"/>
              </w:rPr>
              <w:t>0.4446</w:t>
            </w:r>
          </w:p>
        </w:tc>
        <w:tc>
          <w:tcPr>
            <w:tcMar>
              <w:top w:w="60"/>
              <w:bottom w:w="60"/>
              <w:left w:w="100"/>
              <w:right w:w="100"/>
            </w:tcMar>
          </w:tcPr>
          <w:p>
            <w:r>
              <w:rPr>
                <w:sz w:val="17"/>
              </w:rPr>
              <w:t>0.9011</w:t>
            </w:r>
          </w:p>
        </w:tc>
        <w:tc>
          <w:tcPr>
            <w:tcMar>
              <w:top w:w="60"/>
              <w:bottom w:w="60"/>
              <w:left w:w="100"/>
              <w:right w:w="100"/>
            </w:tcMar>
          </w:tcPr>
          <w:p>
            <w:r>
              <w:rPr>
                <w:sz w:val="17"/>
              </w:rPr>
              <w:t>0.5954</w:t>
            </w:r>
          </w:p>
        </w:tc>
        <w:tc>
          <w:tcPr>
            <w:tcMar>
              <w:top w:w="60"/>
              <w:bottom w:w="60"/>
              <w:left w:w="100"/>
              <w:right w:w="100"/>
            </w:tcMar>
          </w:tcPr>
          <w:p>
            <w:r>
              <w:rPr>
                <w:sz w:val="17"/>
              </w:rPr>
              <w:t>0.8460</w:t>
            </w:r>
          </w:p>
        </w:tc>
        <w:tc>
          <w:tcPr>
            <w:tcMar>
              <w:top w:w="60"/>
              <w:bottom w:w="60"/>
              <w:left w:w="100"/>
              <w:right w:w="100"/>
            </w:tcMar>
          </w:tcPr>
          <w:p>
            <w:r>
              <w:rPr>
                <w:sz w:val="17"/>
              </w:rPr>
              <w:t>0.6522</w:t>
            </w:r>
          </w:p>
        </w:tc>
        <w:tc>
          <w:tcPr>
            <w:tcMar>
              <w:top w:w="60"/>
              <w:bottom w:w="60"/>
              <w:left w:w="100"/>
              <w:right w:w="100"/>
            </w:tcMar>
          </w:tcPr>
          <w:p>
            <w:r>
              <w:rPr>
                <w:sz w:val="17"/>
              </w:rPr>
              <w:t>0.1660</w:t>
            </w:r>
          </w:p>
        </w:tc>
        <w:tc>
          <w:tcPr>
            <w:tcMar>
              <w:top w:w="60"/>
              <w:bottom w:w="60"/>
              <w:left w:w="100"/>
              <w:right w:w="100"/>
            </w:tcMar>
          </w:tcPr>
          <w:p>
            <w:r>
              <w:rPr>
                <w:sz w:val="17"/>
              </w:rPr>
              <w:t>0.29</w:t>
            </w:r>
          </w:p>
        </w:tc>
      </w:tr>
      <w:tr>
        <w:tc>
          <w:tcPr>
            <w:tcMar>
              <w:top w:w="60"/>
              <w:bottom w:w="60"/>
              <w:left w:w="100"/>
              <w:right w:w="100"/>
            </w:tcMar>
          </w:tcPr>
          <w:p>
            <w:r>
              <w:rPr>
                <w:sz w:val="17"/>
              </w:rPr>
              <w:t>Stacking (tau=0.095 Cost-Opt)</w:t>
            </w:r>
          </w:p>
        </w:tc>
        <w:tc>
          <w:tcPr>
            <w:tcMar>
              <w:top w:w="60"/>
              <w:bottom w:w="60"/>
              <w:left w:w="100"/>
              <w:right w:w="100"/>
            </w:tcMar>
          </w:tcPr>
          <w:p>
            <w:r>
              <w:rPr>
                <w:sz w:val="17"/>
              </w:rPr>
              <w:t>0.6210</w:t>
            </w:r>
          </w:p>
        </w:tc>
        <w:tc>
          <w:tcPr>
            <w:tcMar>
              <w:top w:w="60"/>
              <w:bottom w:w="60"/>
              <w:left w:w="100"/>
              <w:right w:w="100"/>
            </w:tcMar>
          </w:tcPr>
          <w:p>
            <w:r>
              <w:rPr>
                <w:sz w:val="17"/>
              </w:rPr>
              <w:t>0.4085</w:t>
            </w:r>
          </w:p>
        </w:tc>
        <w:tc>
          <w:tcPr>
            <w:tcMar>
              <w:top w:w="60"/>
              <w:bottom w:w="60"/>
              <w:left w:w="100"/>
              <w:right w:w="100"/>
            </w:tcMar>
          </w:tcPr>
          <w:p>
            <w:r>
              <w:rPr>
                <w:sz w:val="17"/>
              </w:rPr>
              <w:t>0.9545</w:t>
            </w:r>
          </w:p>
        </w:tc>
        <w:tc>
          <w:tcPr>
            <w:tcMar>
              <w:top w:w="60"/>
              <w:bottom w:w="60"/>
              <w:left w:w="100"/>
              <w:right w:w="100"/>
            </w:tcMar>
          </w:tcPr>
          <w:p>
            <w:r>
              <w:rPr>
                <w:sz w:val="17"/>
              </w:rPr>
              <w:t>0.5721</w:t>
            </w:r>
          </w:p>
        </w:tc>
        <w:tc>
          <w:tcPr>
            <w:tcMar>
              <w:top w:w="60"/>
              <w:bottom w:w="60"/>
              <w:left w:w="100"/>
              <w:right w:w="100"/>
            </w:tcMar>
          </w:tcPr>
          <w:p>
            <w:r>
              <w:rPr>
                <w:sz w:val="17"/>
              </w:rPr>
              <w:t>0.8460</w:t>
            </w:r>
          </w:p>
        </w:tc>
        <w:tc>
          <w:tcPr>
            <w:tcMar>
              <w:top w:w="60"/>
              <w:bottom w:w="60"/>
              <w:left w:w="100"/>
              <w:right w:w="100"/>
            </w:tcMar>
          </w:tcPr>
          <w:p>
            <w:r>
              <w:rPr>
                <w:sz w:val="17"/>
              </w:rPr>
              <w:t>0.6522</w:t>
            </w:r>
          </w:p>
        </w:tc>
        <w:tc>
          <w:tcPr>
            <w:tcMar>
              <w:top w:w="60"/>
              <w:bottom w:w="60"/>
              <w:left w:w="100"/>
              <w:right w:w="100"/>
            </w:tcMar>
          </w:tcPr>
          <w:p>
            <w:r>
              <w:rPr>
                <w:sz w:val="17"/>
              </w:rPr>
              <w:t>0.1660</w:t>
            </w:r>
          </w:p>
        </w:tc>
        <w:tc>
          <w:tcPr>
            <w:tcMar>
              <w:top w:w="60"/>
              <w:bottom w:w="60"/>
              <w:left w:w="100"/>
              <w:right w:w="100"/>
            </w:tcMar>
          </w:tcPr>
          <w:p>
            <w:r>
              <w:rPr>
                <w:sz w:val="17"/>
              </w:rPr>
              <w:t>0.095</w:t>
            </w:r>
          </w:p>
        </w:tc>
      </w:tr>
    </w:tbl>
    <w:p>
      <w:pPr>
        <w:spacing w:after="160"/>
      </w:pPr>
    </w:p>
    <w:p>
      <w:pPr>
        <w:jc w:val="center"/>
      </w:pPr>
      <w:r>
        <w:drawing>
          <wp:inline xmlns:wp="http://schemas.openxmlformats.org/drawingml/2006/wordprocessingDrawing" distT="0" distB="0" distL="0" distR="0">
            <wp:extent cx="5400000" cy="3000000"/>
            <wp:docPr id="1" name="Model Performance Comparison"/>
            <a:graphic xmlns:a="http://schemas.openxmlformats.org/drawingml/2006/main">
              <a:graphicData uri="http://schemas.openxmlformats.org/drawingml/2006/picture">
                <pic:pic xmlns:pic="http://schemas.openxmlformats.org/drawingml/2006/picture">
                  <pic:nvPicPr>
                    <pic:cNvPr id="0" name="Model Performance Comparison"/>
                    <pic:cNvPicPr/>
                  </pic:nvPicPr>
                  <pic:blipFill>
                    <a:blip xmlns:r="http://schemas.openxmlformats.org/officeDocument/2006/relationships" r:embed="rIdImg5"/>
                    <a:stretch>
                      <a:fillRect/>
                    </a:stretch>
                  </pic:blipFill>
                  <pic:spPr>
                    <a:xfrm>
                      <a:off x="0" y="0"/>
                      <a:ext cx="5400000" cy="3000000"/>
                    </a:xfrm>
                    <a:prstGeom prst="rect">
                      <a:avLst/>
                    </a:prstGeom>
                  </pic:spPr>
                </pic:pic>
              </a:graphicData>
            </a:graphic>
          </wp:inline>
        </w:drawing>
      </w:r>
    </w:p>
    <w:p>
      <w:pPr>
        <w:jc w:val="center"/>
        <w:spacing w:after="160"/>
      </w:pPr>
      <w:r>
        <w:rPr>
          <w:b/>
          <w:sz w:val="18"/>
        </w:rPr>
        <w:t>Fig. 5. </w:t>
      </w:r>
      <w:r>
        <w:rPr>
          <w:sz w:val="18"/>
        </w:rPr>
        <w:t>Model Performance Comparison: Cross-metric comparison highlighting the superior recall achieved by the Stacking Ensemble.</w:t>
      </w:r>
    </w:p>
    <w:p>
      <w:pPr>
        <w:jc w:val="center"/>
        <w:spacing w:before="160" w:after="60"/>
      </w:pPr>
      <w:r>
        <w:rPr>
          <w:b/>
          <w:caps/>
          <w:sz w:val="18"/>
        </w:rPr>
        <w:t>TABLE V: 5-FOLD CROSS-VALIDATION BALANCING COMPARISON</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Balancing Method</w:t>
            </w:r>
          </w:p>
        </w:tc>
        <w:tc>
          <w:tcPr>
            <w:shd w:val="clear" w:color="auto" w:fill="F2F4F7"/>
            <w:tcMar>
              <w:top w:w="80"/>
              <w:bottom w:w="80"/>
              <w:left w:w="120"/>
              <w:right w:w="120"/>
            </w:tcMar>
          </w:tcPr>
          <w:p>
            <w:pPr>
              <w:jc w:val="center"/>
            </w:pPr>
            <w:r>
              <w:rPr>
                <w:b/>
                <w:sz w:val="17"/>
              </w:rPr>
              <w:t>CV Accuracy</w:t>
            </w:r>
          </w:p>
        </w:tc>
        <w:tc>
          <w:tcPr>
            <w:shd w:val="clear" w:color="auto" w:fill="F2F4F7"/>
            <w:tcMar>
              <w:top w:w="80"/>
              <w:bottom w:w="80"/>
              <w:left w:w="120"/>
              <w:right w:w="120"/>
            </w:tcMar>
          </w:tcPr>
          <w:p>
            <w:pPr>
              <w:jc w:val="center"/>
            </w:pPr>
            <w:r>
              <w:rPr>
                <w:b/>
                <w:sz w:val="17"/>
              </w:rPr>
              <w:t>CV Precision</w:t>
            </w:r>
          </w:p>
        </w:tc>
        <w:tc>
          <w:tcPr>
            <w:shd w:val="clear" w:color="auto" w:fill="F2F4F7"/>
            <w:tcMar>
              <w:top w:w="80"/>
              <w:bottom w:w="80"/>
              <w:left w:w="120"/>
              <w:right w:w="120"/>
            </w:tcMar>
          </w:tcPr>
          <w:p>
            <w:pPr>
              <w:jc w:val="center"/>
            </w:pPr>
            <w:r>
              <w:rPr>
                <w:b/>
                <w:sz w:val="17"/>
              </w:rPr>
              <w:t>CV Recall</w:t>
            </w:r>
          </w:p>
        </w:tc>
        <w:tc>
          <w:tcPr>
            <w:shd w:val="clear" w:color="auto" w:fill="F2F4F7"/>
            <w:tcMar>
              <w:top w:w="80"/>
              <w:bottom w:w="80"/>
              <w:left w:w="120"/>
              <w:right w:w="120"/>
            </w:tcMar>
          </w:tcPr>
          <w:p>
            <w:pPr>
              <w:jc w:val="center"/>
            </w:pPr>
            <w:r>
              <w:rPr>
                <w:b/>
                <w:sz w:val="17"/>
              </w:rPr>
              <w:t>CV F1</w:t>
            </w:r>
          </w:p>
        </w:tc>
        <w:tc>
          <w:tcPr>
            <w:shd w:val="clear" w:color="auto" w:fill="F2F4F7"/>
            <w:tcMar>
              <w:top w:w="80"/>
              <w:bottom w:w="80"/>
              <w:left w:w="120"/>
              <w:right w:w="120"/>
            </w:tcMar>
          </w:tcPr>
          <w:p>
            <w:pPr>
              <w:jc w:val="center"/>
            </w:pPr>
            <w:r>
              <w:rPr>
                <w:b/>
                <w:sz w:val="17"/>
              </w:rPr>
              <w:t>CV ROC-AUC</w:t>
            </w:r>
          </w:p>
        </w:tc>
      </w:tr>
      <w:tr>
        <w:tc>
          <w:tcPr>
            <w:tcMar>
              <w:top w:w="60"/>
              <w:bottom w:w="60"/>
              <w:left w:w="100"/>
              <w:right w:w="100"/>
            </w:tcMar>
          </w:tcPr>
          <w:p>
            <w:r>
              <w:rPr>
                <w:sz w:val="17"/>
              </w:rPr>
              <w:t>No Balancing</w:t>
            </w:r>
          </w:p>
        </w:tc>
        <w:tc>
          <w:tcPr>
            <w:tcMar>
              <w:top w:w="60"/>
              <w:bottom w:w="60"/>
              <w:left w:w="100"/>
              <w:right w:w="100"/>
            </w:tcMar>
          </w:tcPr>
          <w:p>
            <w:r>
              <w:rPr>
                <w:sz w:val="17"/>
              </w:rPr>
              <w:t>0.7978</w:t>
            </w:r>
          </w:p>
        </w:tc>
        <w:tc>
          <w:tcPr>
            <w:tcMar>
              <w:top w:w="60"/>
              <w:bottom w:w="60"/>
              <w:left w:w="100"/>
              <w:right w:w="100"/>
            </w:tcMar>
          </w:tcPr>
          <w:p>
            <w:r>
              <w:rPr>
                <w:sz w:val="17"/>
              </w:rPr>
              <w:t>0.6495</w:t>
            </w:r>
          </w:p>
        </w:tc>
        <w:tc>
          <w:tcPr>
            <w:tcMar>
              <w:top w:w="60"/>
              <w:bottom w:w="60"/>
              <w:left w:w="100"/>
              <w:right w:w="100"/>
            </w:tcMar>
          </w:tcPr>
          <w:p>
            <w:r>
              <w:rPr>
                <w:sz w:val="17"/>
              </w:rPr>
              <w:t>0.5197</w:t>
            </w:r>
          </w:p>
        </w:tc>
        <w:tc>
          <w:tcPr>
            <w:tcMar>
              <w:top w:w="60"/>
              <w:bottom w:w="60"/>
              <w:left w:w="100"/>
              <w:right w:w="100"/>
            </w:tcMar>
          </w:tcPr>
          <w:p>
            <w:r>
              <w:rPr>
                <w:sz w:val="17"/>
              </w:rPr>
              <w:t>0.5772</w:t>
            </w:r>
          </w:p>
        </w:tc>
        <w:tc>
          <w:tcPr>
            <w:tcMar>
              <w:top w:w="60"/>
              <w:bottom w:w="60"/>
              <w:left w:w="100"/>
              <w:right w:w="100"/>
            </w:tcMar>
          </w:tcPr>
          <w:p>
            <w:r>
              <w:rPr>
                <w:sz w:val="17"/>
              </w:rPr>
              <w:t>0.8406</w:t>
            </w:r>
          </w:p>
        </w:tc>
      </w:tr>
      <w:tr>
        <w:tc>
          <w:tcPr>
            <w:tcMar>
              <w:top w:w="60"/>
              <w:bottom w:w="60"/>
              <w:left w:w="100"/>
              <w:right w:w="100"/>
            </w:tcMar>
          </w:tcPr>
          <w:p>
            <w:r>
              <w:rPr>
                <w:sz w:val="17"/>
              </w:rPr>
              <w:t>Class Weights</w:t>
            </w:r>
          </w:p>
        </w:tc>
        <w:tc>
          <w:tcPr>
            <w:tcMar>
              <w:top w:w="60"/>
              <w:bottom w:w="60"/>
              <w:left w:w="100"/>
              <w:right w:w="100"/>
            </w:tcMar>
          </w:tcPr>
          <w:p>
            <w:r>
              <w:rPr>
                <w:sz w:val="17"/>
              </w:rPr>
              <w:t>0.7657</w:t>
            </w:r>
          </w:p>
        </w:tc>
        <w:tc>
          <w:tcPr>
            <w:tcMar>
              <w:top w:w="60"/>
              <w:bottom w:w="60"/>
              <w:left w:w="100"/>
              <w:right w:w="100"/>
            </w:tcMar>
          </w:tcPr>
          <w:p>
            <w:r>
              <w:rPr>
                <w:sz w:val="17"/>
              </w:rPr>
              <w:t>0.5422</w:t>
            </w:r>
          </w:p>
        </w:tc>
        <w:tc>
          <w:tcPr>
            <w:tcMar>
              <w:top w:w="60"/>
              <w:bottom w:w="60"/>
              <w:left w:w="100"/>
              <w:right w:w="100"/>
            </w:tcMar>
          </w:tcPr>
          <w:p>
            <w:r>
              <w:rPr>
                <w:sz w:val="17"/>
              </w:rPr>
              <w:t>0.7532</w:t>
            </w:r>
          </w:p>
        </w:tc>
        <w:tc>
          <w:tcPr>
            <w:tcMar>
              <w:top w:w="60"/>
              <w:bottom w:w="60"/>
              <w:left w:w="100"/>
              <w:right w:w="100"/>
            </w:tcMar>
          </w:tcPr>
          <w:p>
            <w:r>
              <w:rPr>
                <w:sz w:val="17"/>
              </w:rPr>
              <w:t>0.6304</w:t>
            </w:r>
          </w:p>
        </w:tc>
        <w:tc>
          <w:tcPr>
            <w:tcMar>
              <w:top w:w="60"/>
              <w:bottom w:w="60"/>
              <w:left w:w="100"/>
              <w:right w:w="100"/>
            </w:tcMar>
          </w:tcPr>
          <w:p>
            <w:r>
              <w:rPr>
                <w:sz w:val="17"/>
              </w:rPr>
              <w:t>0.8429</w:t>
            </w:r>
          </w:p>
        </w:tc>
      </w:tr>
      <w:tr>
        <w:tc>
          <w:tcPr>
            <w:tcMar>
              <w:top w:w="60"/>
              <w:bottom w:w="60"/>
              <w:left w:w="100"/>
              <w:right w:w="100"/>
            </w:tcMar>
          </w:tcPr>
          <w:p>
            <w:r>
              <w:rPr>
                <w:sz w:val="17"/>
              </w:rPr>
              <w:t>SMOTE (In-Fold)</w:t>
            </w:r>
          </w:p>
        </w:tc>
        <w:tc>
          <w:tcPr>
            <w:tcMar>
              <w:top w:w="60"/>
              <w:bottom w:w="60"/>
              <w:left w:w="100"/>
              <w:right w:w="100"/>
            </w:tcMar>
          </w:tcPr>
          <w:p>
            <w:r>
              <w:rPr>
                <w:sz w:val="17"/>
              </w:rPr>
              <w:t>0.7961</w:t>
            </w:r>
          </w:p>
        </w:tc>
        <w:tc>
          <w:tcPr>
            <w:tcMar>
              <w:top w:w="60"/>
              <w:bottom w:w="60"/>
              <w:left w:w="100"/>
              <w:right w:w="100"/>
            </w:tcMar>
          </w:tcPr>
          <w:p>
            <w:r>
              <w:rPr>
                <w:sz w:val="17"/>
              </w:rPr>
              <w:t>0.6232</w:t>
            </w:r>
          </w:p>
        </w:tc>
        <w:tc>
          <w:tcPr>
            <w:tcMar>
              <w:top w:w="60"/>
              <w:bottom w:w="60"/>
              <w:left w:w="100"/>
              <w:right w:w="100"/>
            </w:tcMar>
          </w:tcPr>
          <w:p>
            <w:r>
              <w:rPr>
                <w:sz w:val="17"/>
              </w:rPr>
              <w:t>0.5926</w:t>
            </w:r>
          </w:p>
        </w:tc>
        <w:tc>
          <w:tcPr>
            <w:tcMar>
              <w:top w:w="60"/>
              <w:bottom w:w="60"/>
              <w:left w:w="100"/>
              <w:right w:w="100"/>
            </w:tcMar>
          </w:tcPr>
          <w:p>
            <w:r>
              <w:rPr>
                <w:sz w:val="17"/>
              </w:rPr>
              <w:t>0.6070</w:t>
            </w:r>
          </w:p>
        </w:tc>
        <w:tc>
          <w:tcPr>
            <w:tcMar>
              <w:top w:w="60"/>
              <w:bottom w:w="60"/>
              <w:left w:w="100"/>
              <w:right w:w="100"/>
            </w:tcMar>
          </w:tcPr>
          <w:p>
            <w:r>
              <w:rPr>
                <w:sz w:val="17"/>
              </w:rPr>
              <w:t>0.8402</w:t>
            </w:r>
          </w:p>
        </w:tc>
      </w:tr>
      <w:tr>
        <w:tc>
          <w:tcPr>
            <w:tcMar>
              <w:top w:w="60"/>
              <w:bottom w:w="60"/>
              <w:left w:w="100"/>
              <w:right w:w="100"/>
            </w:tcMar>
          </w:tcPr>
          <w:p>
            <w:r>
              <w:rPr>
                <w:sz w:val="17"/>
              </w:rPr>
              <w:t>RandomOverSampler</w:t>
            </w:r>
          </w:p>
        </w:tc>
        <w:tc>
          <w:tcPr>
            <w:tcMar>
              <w:top w:w="60"/>
              <w:bottom w:w="60"/>
              <w:left w:w="100"/>
              <w:right w:w="100"/>
            </w:tcMar>
          </w:tcPr>
          <w:p>
            <w:r>
              <w:rPr>
                <w:sz w:val="17"/>
              </w:rPr>
              <w:t>0.7714</w:t>
            </w:r>
          </w:p>
        </w:tc>
        <w:tc>
          <w:tcPr>
            <w:tcMar>
              <w:top w:w="60"/>
              <w:bottom w:w="60"/>
              <w:left w:w="100"/>
              <w:right w:w="100"/>
            </w:tcMar>
          </w:tcPr>
          <w:p>
            <w:r>
              <w:rPr>
                <w:sz w:val="17"/>
              </w:rPr>
              <w:t>0.5513</w:t>
            </w:r>
          </w:p>
        </w:tc>
        <w:tc>
          <w:tcPr>
            <w:tcMar>
              <w:top w:w="60"/>
              <w:bottom w:w="60"/>
              <w:left w:w="100"/>
              <w:right w:w="100"/>
            </w:tcMar>
          </w:tcPr>
          <w:p>
            <w:r>
              <w:rPr>
                <w:sz w:val="17"/>
              </w:rPr>
              <w:t>0.7411</w:t>
            </w:r>
          </w:p>
        </w:tc>
        <w:tc>
          <w:tcPr>
            <w:tcMar>
              <w:top w:w="60"/>
              <w:bottom w:w="60"/>
              <w:left w:w="100"/>
              <w:right w:w="100"/>
            </w:tcMar>
          </w:tcPr>
          <w:p>
            <w:r>
              <w:rPr>
                <w:sz w:val="17"/>
              </w:rPr>
              <w:t>0.6322</w:t>
            </w:r>
          </w:p>
        </w:tc>
        <w:tc>
          <w:tcPr>
            <w:tcMar>
              <w:top w:w="60"/>
              <w:bottom w:w="60"/>
              <w:left w:w="100"/>
              <w:right w:w="100"/>
            </w:tcMar>
          </w:tcPr>
          <w:p>
            <w:r>
              <w:rPr>
                <w:sz w:val="17"/>
              </w:rPr>
              <w:t>0.8406</w:t>
            </w:r>
          </w:p>
        </w:tc>
      </w:tr>
      <w:tr>
        <w:tc>
          <w:tcPr>
            <w:tcMar>
              <w:top w:w="60"/>
              <w:bottom w:w="60"/>
              <w:left w:w="100"/>
              <w:right w:w="100"/>
            </w:tcMar>
          </w:tcPr>
          <w:p>
            <w:r>
              <w:rPr>
                <w:sz w:val="17"/>
              </w:rPr>
              <w:t>BorderlineSMOTE</w:t>
            </w:r>
          </w:p>
        </w:tc>
        <w:tc>
          <w:tcPr>
            <w:tcMar>
              <w:top w:w="60"/>
              <w:bottom w:w="60"/>
              <w:left w:w="100"/>
              <w:right w:w="100"/>
            </w:tcMar>
          </w:tcPr>
          <w:p>
            <w:r>
              <w:rPr>
                <w:sz w:val="17"/>
              </w:rPr>
              <w:t>0.7900</w:t>
            </w:r>
          </w:p>
        </w:tc>
        <w:tc>
          <w:tcPr>
            <w:tcMar>
              <w:top w:w="60"/>
              <w:bottom w:w="60"/>
              <w:left w:w="100"/>
              <w:right w:w="100"/>
            </w:tcMar>
          </w:tcPr>
          <w:p>
            <w:r>
              <w:rPr>
                <w:sz w:val="17"/>
              </w:rPr>
              <w:t>0.6047</w:t>
            </w:r>
          </w:p>
        </w:tc>
        <w:tc>
          <w:tcPr>
            <w:tcMar>
              <w:top w:w="60"/>
              <w:bottom w:w="60"/>
              <w:left w:w="100"/>
              <w:right w:w="100"/>
            </w:tcMar>
          </w:tcPr>
          <w:p>
            <w:r>
              <w:rPr>
                <w:sz w:val="17"/>
              </w:rPr>
              <w:t>0.6054</w:t>
            </w:r>
          </w:p>
        </w:tc>
        <w:tc>
          <w:tcPr>
            <w:tcMar>
              <w:top w:w="60"/>
              <w:bottom w:w="60"/>
              <w:left w:w="100"/>
              <w:right w:w="100"/>
            </w:tcMar>
          </w:tcPr>
          <w:p>
            <w:r>
              <w:rPr>
                <w:sz w:val="17"/>
              </w:rPr>
              <w:t>0.6048</w:t>
            </w:r>
          </w:p>
        </w:tc>
        <w:tc>
          <w:tcPr>
            <w:tcMar>
              <w:top w:w="60"/>
              <w:bottom w:w="60"/>
              <w:left w:w="100"/>
              <w:right w:w="100"/>
            </w:tcMar>
          </w:tcPr>
          <w:p>
            <w:r>
              <w:rPr>
                <w:sz w:val="17"/>
              </w:rPr>
              <w:t>0.8371</w:t>
            </w:r>
          </w:p>
        </w:tc>
      </w:tr>
      <w:tr>
        <w:tc>
          <w:tcPr>
            <w:tcMar>
              <w:top w:w="60"/>
              <w:bottom w:w="60"/>
              <w:left w:w="100"/>
              <w:right w:w="100"/>
            </w:tcMar>
          </w:tcPr>
          <w:p>
            <w:r>
              <w:rPr>
                <w:sz w:val="17"/>
              </w:rPr>
              <w:t>SMOTETomek</w:t>
            </w:r>
          </w:p>
        </w:tc>
        <w:tc>
          <w:tcPr>
            <w:tcMar>
              <w:top w:w="60"/>
              <w:bottom w:w="60"/>
              <w:left w:w="100"/>
              <w:right w:w="100"/>
            </w:tcMar>
          </w:tcPr>
          <w:p>
            <w:r>
              <w:rPr>
                <w:sz w:val="17"/>
              </w:rPr>
              <w:t>0.7955</w:t>
            </w:r>
          </w:p>
        </w:tc>
        <w:tc>
          <w:tcPr>
            <w:tcMar>
              <w:top w:w="60"/>
              <w:bottom w:w="60"/>
              <w:left w:w="100"/>
              <w:right w:w="100"/>
            </w:tcMar>
          </w:tcPr>
          <w:p>
            <w:r>
              <w:rPr>
                <w:sz w:val="17"/>
              </w:rPr>
              <w:t>0.6210</w:t>
            </w:r>
          </w:p>
        </w:tc>
        <w:tc>
          <w:tcPr>
            <w:tcMar>
              <w:top w:w="60"/>
              <w:bottom w:w="60"/>
              <w:left w:w="100"/>
              <w:right w:w="100"/>
            </w:tcMar>
          </w:tcPr>
          <w:p>
            <w:r>
              <w:rPr>
                <w:sz w:val="17"/>
              </w:rPr>
              <w:t>0.5940</w:t>
            </w:r>
          </w:p>
        </w:tc>
        <w:tc>
          <w:tcPr>
            <w:tcMar>
              <w:top w:w="60"/>
              <w:bottom w:w="60"/>
              <w:left w:w="100"/>
              <w:right w:w="100"/>
            </w:tcMar>
          </w:tcPr>
          <w:p>
            <w:r>
              <w:rPr>
                <w:sz w:val="17"/>
              </w:rPr>
              <w:t>0.6067</w:t>
            </w:r>
          </w:p>
        </w:tc>
        <w:tc>
          <w:tcPr>
            <w:tcMar>
              <w:top w:w="60"/>
              <w:bottom w:w="60"/>
              <w:left w:w="100"/>
              <w:right w:w="100"/>
            </w:tcMar>
          </w:tcPr>
          <w:p>
            <w:r>
              <w:rPr>
                <w:sz w:val="17"/>
              </w:rPr>
              <w:t>0.8392</w:t>
            </w:r>
          </w:p>
        </w:tc>
      </w:tr>
    </w:tbl>
    <w:p>
      <w:pPr>
        <w:spacing w:after="160"/>
      </w:pPr>
    </w:p>
    <w:p>
      <w:pPr>
        <w:pStyle w:val="Heading2"/>
        <w:spacing w:before="160" w:after="60"/>
      </w:pPr>
      <w:r>
        <w:rPr>
          <w:b/>
          <w:i/>
          <w:sz w:val="20"/>
        </w:rPr>
        <w:t>A. Error Analysis and Threshold Sensitivity</w:t>
      </w:r>
    </w:p>
    <w:p>
      <w:pPr>
        <w:jc w:val="both"/>
        <w:ind w:firstLine="280"/>
      </w:pPr>
      <w:r>
        <w:rPr>
          <w:sz w:val="20"/>
          <w:szCs w:val="20"/>
        </w:rPr>
        <w:t xml:space="preserve">At default threshold tau=0.50, the Stacking Ensemble incurs 76 False Negatives. Lowering the threshold to tau=0.29 elevates churn recall to 90.11%, cutting false negatives to 37 (a 51.3% reduction in undetected defections).</w:t>
      </w:r>
    </w:p>
    <w:p>
      <w:pPr>
        <w:jc w:val="center"/>
      </w:pPr>
      <w:r>
        <w:drawing>
          <wp:inline xmlns:wp="http://schemas.openxmlformats.org/drawingml/2006/wordprocessingDrawing" distT="0" distB="0" distL="0" distR="0">
            <wp:extent cx="5400000" cy="2600000"/>
            <wp:docPr id="1" name="Confusion Matrix Comparison"/>
            <a:graphic xmlns:a="http://schemas.openxmlformats.org/drawingml/2006/main">
              <a:graphicData uri="http://schemas.openxmlformats.org/drawingml/2006/picture">
                <pic:pic xmlns:pic="http://schemas.openxmlformats.org/drawingml/2006/picture">
                  <pic:nvPicPr>
                    <pic:cNvPr id="0" name="Confusion Matrix Comparison"/>
                    <pic:cNvPicPr/>
                  </pic:nvPicPr>
                  <pic:blipFill>
                    <a:blip xmlns:r="http://schemas.openxmlformats.org/officeDocument/2006/relationships" r:embed="rIdImg4"/>
                    <a:stretch>
                      <a:fillRect/>
                    </a:stretch>
                  </pic:blipFill>
                  <pic:spPr>
                    <a:xfrm>
                      <a:off x="0" y="0"/>
                      <a:ext cx="5400000" cy="2600000"/>
                    </a:xfrm>
                    <a:prstGeom prst="rect">
                      <a:avLst/>
                    </a:prstGeom>
                  </pic:spPr>
                </pic:pic>
              </a:graphicData>
            </a:graphic>
          </wp:inline>
        </w:drawing>
      </w:r>
    </w:p>
    <w:p>
      <w:pPr>
        <w:jc w:val="center"/>
        <w:spacing w:after="160"/>
      </w:pPr>
      <w:r>
        <w:rPr>
          <w:b/>
          <w:sz w:val="18"/>
        </w:rPr>
        <w:t>Fig. 4. </w:t>
      </w:r>
      <w:r>
        <w:rPr>
          <w:sz w:val="18"/>
        </w:rPr>
        <w:t>Confusion Matrix Comparison of Proposed Stacking Ensemble at Default (tau=0.50) vs. Recall-Prioritized (tau=0.29) thresholds.</w:t>
      </w:r>
    </w:p>
    <w:p>
      <w:pPr>
        <w:jc w:val="center"/>
        <w:spacing w:before="160" w:after="60"/>
      </w:pPr>
      <w:r>
        <w:rPr>
          <w:b/>
          <w:caps/>
          <w:sz w:val="18"/>
        </w:rPr>
        <w:t>TABLE VI: CONFUSION MATRIX AND ERROR RATE ANALYSIS (N=1,409)</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Model / Setting</w:t>
            </w:r>
          </w:p>
        </w:tc>
        <w:tc>
          <w:tcPr>
            <w:shd w:val="clear" w:color="auto" w:fill="F2F4F7"/>
            <w:tcMar>
              <w:top w:w="80"/>
              <w:bottom w:w="80"/>
              <w:left w:w="120"/>
              <w:right w:w="120"/>
            </w:tcMar>
          </w:tcPr>
          <w:p>
            <w:pPr>
              <w:jc w:val="center"/>
            </w:pPr>
            <w:r>
              <w:rPr>
                <w:b/>
                <w:sz w:val="17"/>
              </w:rPr>
              <w:t>TN</w:t>
            </w:r>
          </w:p>
        </w:tc>
        <w:tc>
          <w:tcPr>
            <w:shd w:val="clear" w:color="auto" w:fill="F2F4F7"/>
            <w:tcMar>
              <w:top w:w="80"/>
              <w:bottom w:w="80"/>
              <w:left w:w="120"/>
              <w:right w:w="120"/>
            </w:tcMar>
          </w:tcPr>
          <w:p>
            <w:pPr>
              <w:jc w:val="center"/>
            </w:pPr>
            <w:r>
              <w:rPr>
                <w:b/>
                <w:sz w:val="17"/>
              </w:rPr>
              <w:t>FP</w:t>
            </w:r>
          </w:p>
        </w:tc>
        <w:tc>
          <w:tcPr>
            <w:shd w:val="clear" w:color="auto" w:fill="F2F4F7"/>
            <w:tcMar>
              <w:top w:w="80"/>
              <w:bottom w:w="80"/>
              <w:left w:w="120"/>
              <w:right w:w="120"/>
            </w:tcMar>
          </w:tcPr>
          <w:p>
            <w:pPr>
              <w:jc w:val="center"/>
            </w:pPr>
            <w:r>
              <w:rPr>
                <w:b/>
                <w:sz w:val="17"/>
              </w:rPr>
              <w:t>FN</w:t>
            </w:r>
          </w:p>
        </w:tc>
        <w:tc>
          <w:tcPr>
            <w:shd w:val="clear" w:color="auto" w:fill="F2F4F7"/>
            <w:tcMar>
              <w:top w:w="80"/>
              <w:bottom w:w="80"/>
              <w:left w:w="120"/>
              <w:right w:w="120"/>
            </w:tcMar>
          </w:tcPr>
          <w:p>
            <w:pPr>
              <w:jc w:val="center"/>
            </w:pPr>
            <w:r>
              <w:rPr>
                <w:b/>
                <w:sz w:val="17"/>
              </w:rPr>
              <w:t>TP</w:t>
            </w:r>
          </w:p>
        </w:tc>
        <w:tc>
          <w:tcPr>
            <w:shd w:val="clear" w:color="auto" w:fill="F2F4F7"/>
            <w:tcMar>
              <w:top w:w="80"/>
              <w:bottom w:w="80"/>
              <w:left w:w="120"/>
              <w:right w:w="120"/>
            </w:tcMar>
          </w:tcPr>
          <w:p>
            <w:pPr>
              <w:jc w:val="center"/>
            </w:pPr>
            <w:r>
              <w:rPr>
                <w:b/>
                <w:sz w:val="17"/>
              </w:rPr>
              <w:t>FPR</w:t>
            </w:r>
          </w:p>
        </w:tc>
        <w:tc>
          <w:tcPr>
            <w:shd w:val="clear" w:color="auto" w:fill="F2F4F7"/>
            <w:tcMar>
              <w:top w:w="80"/>
              <w:bottom w:w="80"/>
              <w:left w:w="120"/>
              <w:right w:w="120"/>
            </w:tcMar>
          </w:tcPr>
          <w:p>
            <w:pPr>
              <w:jc w:val="center"/>
            </w:pPr>
            <w:r>
              <w:rPr>
                <w:b/>
                <w:sz w:val="17"/>
              </w:rPr>
              <w:t>FNR</w:t>
            </w:r>
          </w:p>
        </w:tc>
      </w:tr>
      <w:tr>
        <w:tc>
          <w:tcPr>
            <w:tcMar>
              <w:top w:w="60"/>
              <w:bottom w:w="60"/>
              <w:left w:w="100"/>
              <w:right w:w="100"/>
            </w:tcMar>
          </w:tcPr>
          <w:p>
            <w:r>
              <w:rPr>
                <w:sz w:val="17"/>
              </w:rPr>
              <w:t>Random Forest (tau=0.5)</w:t>
            </w:r>
          </w:p>
        </w:tc>
        <w:tc>
          <w:tcPr>
            <w:tcMar>
              <w:top w:w="60"/>
              <w:bottom w:w="60"/>
              <w:left w:w="100"/>
              <w:right w:w="100"/>
            </w:tcMar>
          </w:tcPr>
          <w:p>
            <w:r>
              <w:rPr>
                <w:sz w:val="17"/>
              </w:rPr>
              <w:t>806</w:t>
            </w:r>
          </w:p>
        </w:tc>
        <w:tc>
          <w:tcPr>
            <w:tcMar>
              <w:top w:w="60"/>
              <w:bottom w:w="60"/>
              <w:left w:w="100"/>
              <w:right w:w="100"/>
            </w:tcMar>
          </w:tcPr>
          <w:p>
            <w:r>
              <w:rPr>
                <w:sz w:val="17"/>
              </w:rPr>
              <w:t>229</w:t>
            </w:r>
          </w:p>
        </w:tc>
        <w:tc>
          <w:tcPr>
            <w:tcMar>
              <w:top w:w="60"/>
              <w:bottom w:w="60"/>
              <w:left w:w="100"/>
              <w:right w:w="100"/>
            </w:tcMar>
          </w:tcPr>
          <w:p>
            <w:r>
              <w:rPr>
                <w:sz w:val="17"/>
              </w:rPr>
              <w:t>90</w:t>
            </w:r>
          </w:p>
        </w:tc>
        <w:tc>
          <w:tcPr>
            <w:tcMar>
              <w:top w:w="60"/>
              <w:bottom w:w="60"/>
              <w:left w:w="100"/>
              <w:right w:w="100"/>
            </w:tcMar>
          </w:tcPr>
          <w:p>
            <w:r>
              <w:rPr>
                <w:sz w:val="17"/>
              </w:rPr>
              <w:t>284</w:t>
            </w:r>
          </w:p>
        </w:tc>
        <w:tc>
          <w:tcPr>
            <w:tcMar>
              <w:top w:w="60"/>
              <w:bottom w:w="60"/>
              <w:left w:w="100"/>
              <w:right w:w="100"/>
            </w:tcMar>
          </w:tcPr>
          <w:p>
            <w:r>
              <w:rPr>
                <w:sz w:val="17"/>
              </w:rPr>
              <w:t>22.1%</w:t>
            </w:r>
          </w:p>
        </w:tc>
        <w:tc>
          <w:tcPr>
            <w:tcMar>
              <w:top w:w="60"/>
              <w:bottom w:w="60"/>
              <w:left w:w="100"/>
              <w:right w:w="100"/>
            </w:tcMar>
          </w:tcPr>
          <w:p>
            <w:r>
              <w:rPr>
                <w:sz w:val="17"/>
              </w:rPr>
              <w:t>24.1%</w:t>
            </w:r>
          </w:p>
        </w:tc>
      </w:tr>
      <w:tr>
        <w:tc>
          <w:tcPr>
            <w:tcMar>
              <w:top w:w="60"/>
              <w:bottom w:w="60"/>
              <w:left w:w="100"/>
              <w:right w:w="100"/>
            </w:tcMar>
          </w:tcPr>
          <w:p>
            <w:r>
              <w:rPr>
                <w:sz w:val="17"/>
              </w:rPr>
              <w:t>XGBoost (tau=0.5)</w:t>
            </w:r>
          </w:p>
        </w:tc>
        <w:tc>
          <w:tcPr>
            <w:tcMar>
              <w:top w:w="60"/>
              <w:bottom w:w="60"/>
              <w:left w:w="100"/>
              <w:right w:w="100"/>
            </w:tcMar>
          </w:tcPr>
          <w:p>
            <w:r>
              <w:rPr>
                <w:sz w:val="17"/>
              </w:rPr>
              <w:t>797</w:t>
            </w:r>
          </w:p>
        </w:tc>
        <w:tc>
          <w:tcPr>
            <w:tcMar>
              <w:top w:w="60"/>
              <w:bottom w:w="60"/>
              <w:left w:w="100"/>
              <w:right w:w="100"/>
            </w:tcMar>
          </w:tcPr>
          <w:p>
            <w:r>
              <w:rPr>
                <w:sz w:val="17"/>
              </w:rPr>
              <w:t>238</w:t>
            </w:r>
          </w:p>
        </w:tc>
        <w:tc>
          <w:tcPr>
            <w:tcMar>
              <w:top w:w="60"/>
              <w:bottom w:w="60"/>
              <w:left w:w="100"/>
              <w:right w:w="100"/>
            </w:tcMar>
          </w:tcPr>
          <w:p>
            <w:r>
              <w:rPr>
                <w:sz w:val="17"/>
              </w:rPr>
              <w:t>95</w:t>
            </w:r>
          </w:p>
        </w:tc>
        <w:tc>
          <w:tcPr>
            <w:tcMar>
              <w:top w:w="60"/>
              <w:bottom w:w="60"/>
              <w:left w:w="100"/>
              <w:right w:w="100"/>
            </w:tcMar>
          </w:tcPr>
          <w:p>
            <w:r>
              <w:rPr>
                <w:sz w:val="17"/>
              </w:rPr>
              <w:t>279</w:t>
            </w:r>
          </w:p>
        </w:tc>
        <w:tc>
          <w:tcPr>
            <w:tcMar>
              <w:top w:w="60"/>
              <w:bottom w:w="60"/>
              <w:left w:w="100"/>
              <w:right w:w="100"/>
            </w:tcMar>
          </w:tcPr>
          <w:p>
            <w:r>
              <w:rPr>
                <w:sz w:val="17"/>
              </w:rPr>
              <w:t>23.0%</w:t>
            </w:r>
          </w:p>
        </w:tc>
        <w:tc>
          <w:tcPr>
            <w:tcMar>
              <w:top w:w="60"/>
              <w:bottom w:w="60"/>
              <w:left w:w="100"/>
              <w:right w:w="100"/>
            </w:tcMar>
          </w:tcPr>
          <w:p>
            <w:r>
              <w:rPr>
                <w:sz w:val="17"/>
              </w:rPr>
              <w:t>25.4%</w:t>
            </w:r>
          </w:p>
        </w:tc>
      </w:tr>
      <w:tr>
        <w:tc>
          <w:tcPr>
            <w:tcMar>
              <w:top w:w="60"/>
              <w:bottom w:w="60"/>
              <w:left w:w="100"/>
              <w:right w:w="100"/>
            </w:tcMar>
          </w:tcPr>
          <w:p>
            <w:r>
              <w:rPr>
                <w:sz w:val="17"/>
              </w:rPr>
              <w:t>LightGBM (tau=0.5)</w:t>
            </w:r>
          </w:p>
        </w:tc>
        <w:tc>
          <w:tcPr>
            <w:tcMar>
              <w:top w:w="60"/>
              <w:bottom w:w="60"/>
              <w:left w:w="100"/>
              <w:right w:w="100"/>
            </w:tcMar>
          </w:tcPr>
          <w:p>
            <w:r>
              <w:rPr>
                <w:sz w:val="17"/>
              </w:rPr>
              <w:t>823</w:t>
            </w:r>
          </w:p>
        </w:tc>
        <w:tc>
          <w:tcPr>
            <w:tcMar>
              <w:top w:w="60"/>
              <w:bottom w:w="60"/>
              <w:left w:w="100"/>
              <w:right w:w="100"/>
            </w:tcMar>
          </w:tcPr>
          <w:p>
            <w:r>
              <w:rPr>
                <w:sz w:val="17"/>
              </w:rPr>
              <w:t>212</w:t>
            </w:r>
          </w:p>
        </w:tc>
        <w:tc>
          <w:tcPr>
            <w:tcMar>
              <w:top w:w="60"/>
              <w:bottom w:w="60"/>
              <w:left w:w="100"/>
              <w:right w:w="100"/>
            </w:tcMar>
          </w:tcPr>
          <w:p>
            <w:r>
              <w:rPr>
                <w:sz w:val="17"/>
              </w:rPr>
              <w:t>113</w:t>
            </w:r>
          </w:p>
        </w:tc>
        <w:tc>
          <w:tcPr>
            <w:tcMar>
              <w:top w:w="60"/>
              <w:bottom w:w="60"/>
              <w:left w:w="100"/>
              <w:right w:w="100"/>
            </w:tcMar>
          </w:tcPr>
          <w:p>
            <w:r>
              <w:rPr>
                <w:sz w:val="17"/>
              </w:rPr>
              <w:t>261</w:t>
            </w:r>
          </w:p>
        </w:tc>
        <w:tc>
          <w:tcPr>
            <w:tcMar>
              <w:top w:w="60"/>
              <w:bottom w:w="60"/>
              <w:left w:w="100"/>
              <w:right w:w="100"/>
            </w:tcMar>
          </w:tcPr>
          <w:p>
            <w:r>
              <w:rPr>
                <w:sz w:val="17"/>
              </w:rPr>
              <w:t>20.5%</w:t>
            </w:r>
          </w:p>
        </w:tc>
        <w:tc>
          <w:tcPr>
            <w:tcMar>
              <w:top w:w="60"/>
              <w:bottom w:w="60"/>
              <w:left w:w="100"/>
              <w:right w:w="100"/>
            </w:tcMar>
          </w:tcPr>
          <w:p>
            <w:r>
              <w:rPr>
                <w:sz w:val="17"/>
              </w:rPr>
              <w:t>30.2%</w:t>
            </w:r>
          </w:p>
        </w:tc>
      </w:tr>
      <w:tr>
        <w:tc>
          <w:tcPr>
            <w:tcMar>
              <w:top w:w="60"/>
              <w:bottom w:w="60"/>
              <w:left w:w="100"/>
              <w:right w:w="100"/>
            </w:tcMar>
          </w:tcPr>
          <w:p>
            <w:r>
              <w:rPr>
                <w:sz w:val="17"/>
              </w:rPr>
              <w:t>Stacking (tau=0.50)</w:t>
            </w:r>
          </w:p>
        </w:tc>
        <w:tc>
          <w:tcPr>
            <w:tcMar>
              <w:top w:w="60"/>
              <w:bottom w:w="60"/>
              <w:left w:w="100"/>
              <w:right w:w="100"/>
            </w:tcMar>
          </w:tcPr>
          <w:p>
            <w:r>
              <w:rPr>
                <w:sz w:val="17"/>
              </w:rPr>
              <w:t>776</w:t>
            </w:r>
          </w:p>
        </w:tc>
        <w:tc>
          <w:tcPr>
            <w:tcMar>
              <w:top w:w="60"/>
              <w:bottom w:w="60"/>
              <w:left w:w="100"/>
              <w:right w:w="100"/>
            </w:tcMar>
          </w:tcPr>
          <w:p>
            <w:r>
              <w:rPr>
                <w:sz w:val="17"/>
              </w:rPr>
              <w:t>259</w:t>
            </w:r>
          </w:p>
        </w:tc>
        <w:tc>
          <w:tcPr>
            <w:tcMar>
              <w:top w:w="60"/>
              <w:bottom w:w="60"/>
              <w:left w:w="100"/>
              <w:right w:w="100"/>
            </w:tcMar>
          </w:tcPr>
          <w:p>
            <w:r>
              <w:rPr>
                <w:sz w:val="17"/>
              </w:rPr>
              <w:t>76</w:t>
            </w:r>
          </w:p>
        </w:tc>
        <w:tc>
          <w:tcPr>
            <w:tcMar>
              <w:top w:w="60"/>
              <w:bottom w:w="60"/>
              <w:left w:w="100"/>
              <w:right w:w="100"/>
            </w:tcMar>
          </w:tcPr>
          <w:p>
            <w:r>
              <w:rPr>
                <w:sz w:val="17"/>
              </w:rPr>
              <w:t>298</w:t>
            </w:r>
          </w:p>
        </w:tc>
        <w:tc>
          <w:tcPr>
            <w:tcMar>
              <w:top w:w="60"/>
              <w:bottom w:w="60"/>
              <w:left w:w="100"/>
              <w:right w:w="100"/>
            </w:tcMar>
          </w:tcPr>
          <w:p>
            <w:r>
              <w:rPr>
                <w:sz w:val="17"/>
              </w:rPr>
              <w:t>25.0%</w:t>
            </w:r>
          </w:p>
        </w:tc>
        <w:tc>
          <w:tcPr>
            <w:tcMar>
              <w:top w:w="60"/>
              <w:bottom w:w="60"/>
              <w:left w:w="100"/>
              <w:right w:w="100"/>
            </w:tcMar>
          </w:tcPr>
          <w:p>
            <w:r>
              <w:rPr>
                <w:sz w:val="17"/>
              </w:rPr>
              <w:t>20.3%</w:t>
            </w:r>
          </w:p>
        </w:tc>
      </w:tr>
      <w:tr>
        <w:tc>
          <w:tcPr>
            <w:tcMar>
              <w:top w:w="60"/>
              <w:bottom w:w="60"/>
              <w:left w:w="100"/>
              <w:right w:w="100"/>
            </w:tcMar>
          </w:tcPr>
          <w:p>
            <w:r>
              <w:rPr>
                <w:sz w:val="17"/>
              </w:rPr>
              <w:t>Stacking (tau=0.29)</w:t>
            </w:r>
          </w:p>
        </w:tc>
        <w:tc>
          <w:tcPr>
            <w:tcMar>
              <w:top w:w="60"/>
              <w:bottom w:w="60"/>
              <w:left w:w="100"/>
              <w:right w:w="100"/>
            </w:tcMar>
          </w:tcPr>
          <w:p>
            <w:r>
              <w:rPr>
                <w:sz w:val="17"/>
              </w:rPr>
              <w:t>614</w:t>
            </w:r>
          </w:p>
        </w:tc>
        <w:tc>
          <w:tcPr>
            <w:tcMar>
              <w:top w:w="60"/>
              <w:bottom w:w="60"/>
              <w:left w:w="100"/>
              <w:right w:w="100"/>
            </w:tcMar>
          </w:tcPr>
          <w:p>
            <w:r>
              <w:rPr>
                <w:sz w:val="17"/>
              </w:rPr>
              <w:t>421</w:t>
            </w:r>
          </w:p>
        </w:tc>
        <w:tc>
          <w:tcPr>
            <w:tcMar>
              <w:top w:w="60"/>
              <w:bottom w:w="60"/>
              <w:left w:w="100"/>
              <w:right w:w="100"/>
            </w:tcMar>
          </w:tcPr>
          <w:p>
            <w:r>
              <w:rPr>
                <w:sz w:val="17"/>
              </w:rPr>
              <w:t>37</w:t>
            </w:r>
          </w:p>
        </w:tc>
        <w:tc>
          <w:tcPr>
            <w:tcMar>
              <w:top w:w="60"/>
              <w:bottom w:w="60"/>
              <w:left w:w="100"/>
              <w:right w:w="100"/>
            </w:tcMar>
          </w:tcPr>
          <w:p>
            <w:r>
              <w:rPr>
                <w:sz w:val="17"/>
              </w:rPr>
              <w:t>337</w:t>
            </w:r>
          </w:p>
        </w:tc>
        <w:tc>
          <w:tcPr>
            <w:tcMar>
              <w:top w:w="60"/>
              <w:bottom w:w="60"/>
              <w:left w:w="100"/>
              <w:right w:w="100"/>
            </w:tcMar>
          </w:tcPr>
          <w:p>
            <w:r>
              <w:rPr>
                <w:sz w:val="17"/>
              </w:rPr>
              <w:t>40.7%</w:t>
            </w:r>
          </w:p>
        </w:tc>
        <w:tc>
          <w:tcPr>
            <w:tcMar>
              <w:top w:w="60"/>
              <w:bottom w:w="60"/>
              <w:left w:w="100"/>
              <w:right w:w="100"/>
            </w:tcMar>
          </w:tcPr>
          <w:p>
            <w:r>
              <w:rPr>
                <w:sz w:val="17"/>
              </w:rPr>
              <w:t>9.9%</w:t>
            </w:r>
          </w:p>
        </w:tc>
      </w:tr>
      <w:tr>
        <w:tc>
          <w:tcPr>
            <w:tcMar>
              <w:top w:w="60"/>
              <w:bottom w:w="60"/>
              <w:left w:w="100"/>
              <w:right w:w="100"/>
            </w:tcMar>
          </w:tcPr>
          <w:p>
            <w:r>
              <w:rPr>
                <w:sz w:val="17"/>
              </w:rPr>
              <w:t>Stacking (tau=0.095)</w:t>
            </w:r>
          </w:p>
        </w:tc>
        <w:tc>
          <w:tcPr>
            <w:tcMar>
              <w:top w:w="60"/>
              <w:bottom w:w="60"/>
              <w:left w:w="100"/>
              <w:right w:w="100"/>
            </w:tcMar>
          </w:tcPr>
          <w:p>
            <w:r>
              <w:rPr>
                <w:sz w:val="17"/>
              </w:rPr>
              <w:t>432</w:t>
            </w:r>
          </w:p>
        </w:tc>
        <w:tc>
          <w:tcPr>
            <w:tcMar>
              <w:top w:w="60"/>
              <w:bottom w:w="60"/>
              <w:left w:w="100"/>
              <w:right w:w="100"/>
            </w:tcMar>
          </w:tcPr>
          <w:p>
            <w:r>
              <w:rPr>
                <w:sz w:val="17"/>
              </w:rPr>
              <w:t>603</w:t>
            </w:r>
          </w:p>
        </w:tc>
        <w:tc>
          <w:tcPr>
            <w:tcMar>
              <w:top w:w="60"/>
              <w:bottom w:w="60"/>
              <w:left w:w="100"/>
              <w:right w:w="100"/>
            </w:tcMar>
          </w:tcPr>
          <w:p>
            <w:r>
              <w:rPr>
                <w:sz w:val="17"/>
              </w:rPr>
              <w:t>17</w:t>
            </w:r>
          </w:p>
        </w:tc>
        <w:tc>
          <w:tcPr>
            <w:tcMar>
              <w:top w:w="60"/>
              <w:bottom w:w="60"/>
              <w:left w:w="100"/>
              <w:right w:w="100"/>
            </w:tcMar>
          </w:tcPr>
          <w:p>
            <w:r>
              <w:rPr>
                <w:sz w:val="17"/>
              </w:rPr>
              <w:t>357</w:t>
            </w:r>
          </w:p>
        </w:tc>
        <w:tc>
          <w:tcPr>
            <w:tcMar>
              <w:top w:w="60"/>
              <w:bottom w:w="60"/>
              <w:left w:w="100"/>
              <w:right w:w="100"/>
            </w:tcMar>
          </w:tcPr>
          <w:p>
            <w:r>
              <w:rPr>
                <w:sz w:val="17"/>
              </w:rPr>
              <w:t>58.3%</w:t>
            </w:r>
          </w:p>
        </w:tc>
        <w:tc>
          <w:tcPr>
            <w:tcMar>
              <w:top w:w="60"/>
              <w:bottom w:w="60"/>
              <w:left w:w="100"/>
              <w:right w:w="100"/>
            </w:tcMar>
          </w:tcPr>
          <w:p>
            <w:r>
              <w:rPr>
                <w:sz w:val="17"/>
              </w:rPr>
              <w:t>4.5%</w:t>
            </w:r>
          </w:p>
        </w:tc>
      </w:tr>
    </w:tbl>
    <w:p>
      <w:pPr>
        <w:spacing w:after="160"/>
      </w:pPr>
    </w:p>
    <w:p>
      <w:pPr>
        <w:jc w:val="center"/>
        <w:spacing w:before="160" w:after="60"/>
      </w:pPr>
      <w:r>
        <w:rPr>
          <w:b/>
          <w:caps/>
          <w:sz w:val="18"/>
        </w:rPr>
        <w:t>TABLE VII: THRESHOLD SENSITIVITY ANALYSIS (HELD-OUT TEST SET)</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Threshold tau</w:t>
            </w:r>
          </w:p>
        </w:tc>
        <w:tc>
          <w:tcPr>
            <w:shd w:val="clear" w:color="auto" w:fill="F2F4F7"/>
            <w:tcMar>
              <w:top w:w="80"/>
              <w:bottom w:w="80"/>
              <w:left w:w="120"/>
              <w:right w:w="120"/>
            </w:tcMar>
          </w:tcPr>
          <w:p>
            <w:pPr>
              <w:jc w:val="center"/>
            </w:pPr>
            <w:r>
              <w:rPr>
                <w:b/>
                <w:sz w:val="17"/>
              </w:rPr>
              <w:t>Accuracy</w:t>
            </w:r>
          </w:p>
        </w:tc>
        <w:tc>
          <w:tcPr>
            <w:shd w:val="clear" w:color="auto" w:fill="F2F4F7"/>
            <w:tcMar>
              <w:top w:w="80"/>
              <w:bottom w:w="80"/>
              <w:left w:w="120"/>
              <w:right w:w="120"/>
            </w:tcMar>
          </w:tcPr>
          <w:p>
            <w:pPr>
              <w:jc w:val="center"/>
            </w:pPr>
            <w:r>
              <w:rPr>
                <w:b/>
                <w:sz w:val="17"/>
              </w:rPr>
              <w:t>Precision</w:t>
            </w:r>
          </w:p>
        </w:tc>
        <w:tc>
          <w:tcPr>
            <w:shd w:val="clear" w:color="auto" w:fill="F2F4F7"/>
            <w:tcMar>
              <w:top w:w="80"/>
              <w:bottom w:w="80"/>
              <w:left w:w="120"/>
              <w:right w:w="120"/>
            </w:tcMar>
          </w:tcPr>
          <w:p>
            <w:pPr>
              <w:jc w:val="center"/>
            </w:pPr>
            <w:r>
              <w:rPr>
                <w:b/>
                <w:sz w:val="17"/>
              </w:rPr>
              <w:t>Recall</w:t>
            </w:r>
          </w:p>
        </w:tc>
        <w:tc>
          <w:tcPr>
            <w:shd w:val="clear" w:color="auto" w:fill="F2F4F7"/>
            <w:tcMar>
              <w:top w:w="80"/>
              <w:bottom w:w="80"/>
              <w:left w:w="120"/>
              <w:right w:w="120"/>
            </w:tcMar>
          </w:tcPr>
          <w:p>
            <w:pPr>
              <w:jc w:val="center"/>
            </w:pPr>
            <w:r>
              <w:rPr>
                <w:b/>
                <w:sz w:val="17"/>
              </w:rPr>
              <w:t>F1-Score</w:t>
            </w:r>
          </w:p>
        </w:tc>
        <w:tc>
          <w:tcPr>
            <w:shd w:val="clear" w:color="auto" w:fill="F2F4F7"/>
            <w:tcMar>
              <w:top w:w="80"/>
              <w:bottom w:w="80"/>
              <w:left w:w="120"/>
              <w:right w:w="120"/>
            </w:tcMar>
          </w:tcPr>
          <w:p>
            <w:pPr>
              <w:jc w:val="center"/>
            </w:pPr>
            <w:r>
              <w:rPr>
                <w:b/>
                <w:sz w:val="17"/>
              </w:rPr>
              <w:t>FPR</w:t>
            </w:r>
          </w:p>
        </w:tc>
        <w:tc>
          <w:tcPr>
            <w:shd w:val="clear" w:color="auto" w:fill="F2F4F7"/>
            <w:tcMar>
              <w:top w:w="80"/>
              <w:bottom w:w="80"/>
              <w:left w:w="120"/>
              <w:right w:w="120"/>
            </w:tcMar>
          </w:tcPr>
          <w:p>
            <w:pPr>
              <w:jc w:val="center"/>
            </w:pPr>
            <w:r>
              <w:rPr>
                <w:b/>
                <w:sz w:val="17"/>
              </w:rPr>
              <w:t>FNR</w:t>
            </w:r>
          </w:p>
        </w:tc>
      </w:tr>
      <w:tr>
        <w:tc>
          <w:tcPr>
            <w:tcMar>
              <w:top w:w="60"/>
              <w:bottom w:w="60"/>
              <w:left w:w="100"/>
              <w:right w:w="100"/>
            </w:tcMar>
          </w:tcPr>
          <w:p>
            <w:r>
              <w:rPr>
                <w:sz w:val="17"/>
              </w:rPr>
              <w:t>0.10</w:t>
            </w:r>
          </w:p>
        </w:tc>
        <w:tc>
          <w:tcPr>
            <w:tcMar>
              <w:top w:w="60"/>
              <w:bottom w:w="60"/>
              <w:left w:w="100"/>
              <w:right w:w="100"/>
            </w:tcMar>
          </w:tcPr>
          <w:p>
            <w:r>
              <w:rPr>
                <w:sz w:val="17"/>
              </w:rPr>
              <w:t>0.3860</w:t>
            </w:r>
          </w:p>
        </w:tc>
        <w:tc>
          <w:tcPr>
            <w:tcMar>
              <w:top w:w="60"/>
              <w:bottom w:w="60"/>
              <w:left w:w="100"/>
              <w:right w:w="100"/>
            </w:tcMar>
          </w:tcPr>
          <w:p>
            <w:r>
              <w:rPr>
                <w:sz w:val="17"/>
              </w:rPr>
              <w:t>0.3010</w:t>
            </w:r>
          </w:p>
        </w:tc>
        <w:tc>
          <w:tcPr>
            <w:tcMar>
              <w:top w:w="60"/>
              <w:bottom w:w="60"/>
              <w:left w:w="100"/>
              <w:right w:w="100"/>
            </w:tcMar>
          </w:tcPr>
          <w:p>
            <w:r>
              <w:rPr>
                <w:sz w:val="17"/>
              </w:rPr>
              <w:t>0.9933</w:t>
            </w:r>
          </w:p>
        </w:tc>
        <w:tc>
          <w:tcPr>
            <w:tcMar>
              <w:top w:w="60"/>
              <w:bottom w:w="60"/>
              <w:left w:w="100"/>
              <w:right w:w="100"/>
            </w:tcMar>
          </w:tcPr>
          <w:p>
            <w:r>
              <w:rPr>
                <w:sz w:val="17"/>
              </w:rPr>
              <w:t>0.4620</w:t>
            </w:r>
          </w:p>
        </w:tc>
        <w:tc>
          <w:tcPr>
            <w:tcMar>
              <w:top w:w="60"/>
              <w:bottom w:w="60"/>
              <w:left w:w="100"/>
              <w:right w:w="100"/>
            </w:tcMar>
          </w:tcPr>
          <w:p>
            <w:r>
              <w:rPr>
                <w:sz w:val="17"/>
              </w:rPr>
              <w:t>83.3%</w:t>
            </w:r>
          </w:p>
        </w:tc>
        <w:tc>
          <w:tcPr>
            <w:tcMar>
              <w:top w:w="60"/>
              <w:bottom w:w="60"/>
              <w:left w:w="100"/>
              <w:right w:w="100"/>
            </w:tcMar>
          </w:tcPr>
          <w:p>
            <w:r>
              <w:rPr>
                <w:sz w:val="17"/>
              </w:rPr>
              <w:t>0.7%</w:t>
            </w:r>
          </w:p>
        </w:tc>
      </w:tr>
      <w:tr>
        <w:tc>
          <w:tcPr>
            <w:tcMar>
              <w:top w:w="60"/>
              <w:bottom w:w="60"/>
              <w:left w:w="100"/>
              <w:right w:w="100"/>
            </w:tcMar>
          </w:tcPr>
          <w:p>
            <w:r>
              <w:rPr>
                <w:sz w:val="17"/>
              </w:rPr>
              <w:t>0.20</w:t>
            </w:r>
          </w:p>
        </w:tc>
        <w:tc>
          <w:tcPr>
            <w:tcMar>
              <w:top w:w="60"/>
              <w:bottom w:w="60"/>
              <w:left w:w="100"/>
              <w:right w:w="100"/>
            </w:tcMar>
          </w:tcPr>
          <w:p>
            <w:r>
              <w:rPr>
                <w:sz w:val="17"/>
              </w:rPr>
              <w:t>0.6060</w:t>
            </w:r>
          </w:p>
        </w:tc>
        <w:tc>
          <w:tcPr>
            <w:tcMar>
              <w:top w:w="60"/>
              <w:bottom w:w="60"/>
              <w:left w:w="100"/>
              <w:right w:w="100"/>
            </w:tcMar>
          </w:tcPr>
          <w:p>
            <w:r>
              <w:rPr>
                <w:sz w:val="17"/>
              </w:rPr>
              <w:t>0.3980</w:t>
            </w:r>
          </w:p>
        </w:tc>
        <w:tc>
          <w:tcPr>
            <w:tcMar>
              <w:top w:w="60"/>
              <w:bottom w:w="60"/>
              <w:left w:w="100"/>
              <w:right w:w="100"/>
            </w:tcMar>
          </w:tcPr>
          <w:p>
            <w:r>
              <w:rPr>
                <w:sz w:val="17"/>
              </w:rPr>
              <w:t>0.9465</w:t>
            </w:r>
          </w:p>
        </w:tc>
        <w:tc>
          <w:tcPr>
            <w:tcMar>
              <w:top w:w="60"/>
              <w:bottom w:w="60"/>
              <w:left w:w="100"/>
              <w:right w:w="100"/>
            </w:tcMar>
          </w:tcPr>
          <w:p>
            <w:r>
              <w:rPr>
                <w:sz w:val="17"/>
              </w:rPr>
              <w:t>0.5604</w:t>
            </w:r>
          </w:p>
        </w:tc>
        <w:tc>
          <w:tcPr>
            <w:tcMar>
              <w:top w:w="60"/>
              <w:bottom w:w="60"/>
              <w:left w:w="100"/>
              <w:right w:w="100"/>
            </w:tcMar>
          </w:tcPr>
          <w:p>
            <w:r>
              <w:rPr>
                <w:sz w:val="17"/>
              </w:rPr>
              <w:t>51.7%</w:t>
            </w:r>
          </w:p>
        </w:tc>
        <w:tc>
          <w:tcPr>
            <w:tcMar>
              <w:top w:w="60"/>
              <w:bottom w:w="60"/>
              <w:left w:w="100"/>
              <w:right w:w="100"/>
            </w:tcMar>
          </w:tcPr>
          <w:p>
            <w:r>
              <w:rPr>
                <w:sz w:val="17"/>
              </w:rPr>
              <w:t>5.3%</w:t>
            </w:r>
          </w:p>
        </w:tc>
      </w:tr>
      <w:tr>
        <w:tc>
          <w:tcPr>
            <w:tcMar>
              <w:top w:w="60"/>
              <w:bottom w:w="60"/>
              <w:left w:w="100"/>
              <w:right w:w="100"/>
            </w:tcMar>
          </w:tcPr>
          <w:p>
            <w:r>
              <w:rPr>
                <w:sz w:val="17"/>
              </w:rPr>
              <w:t>0.29 (Recall-Opt)</w:t>
            </w:r>
          </w:p>
        </w:tc>
        <w:tc>
          <w:tcPr>
            <w:tcMar>
              <w:top w:w="60"/>
              <w:bottom w:w="60"/>
              <w:left w:w="100"/>
              <w:right w:w="100"/>
            </w:tcMar>
          </w:tcPr>
          <w:p>
            <w:r>
              <w:rPr>
                <w:sz w:val="17"/>
              </w:rPr>
              <w:t>0.6881</w:t>
            </w:r>
          </w:p>
        </w:tc>
        <w:tc>
          <w:tcPr>
            <w:tcMar>
              <w:top w:w="60"/>
              <w:bottom w:w="60"/>
              <w:left w:w="100"/>
              <w:right w:w="100"/>
            </w:tcMar>
          </w:tcPr>
          <w:p>
            <w:r>
              <w:rPr>
                <w:sz w:val="17"/>
              </w:rPr>
              <w:t>0.4553</w:t>
            </w:r>
          </w:p>
        </w:tc>
        <w:tc>
          <w:tcPr>
            <w:tcMar>
              <w:top w:w="60"/>
              <w:bottom w:w="60"/>
              <w:left w:w="100"/>
              <w:right w:w="100"/>
            </w:tcMar>
          </w:tcPr>
          <w:p>
            <w:r>
              <w:rPr>
                <w:sz w:val="17"/>
              </w:rPr>
              <w:t>0.8923</w:t>
            </w:r>
          </w:p>
        </w:tc>
        <w:tc>
          <w:tcPr>
            <w:tcMar>
              <w:top w:w="60"/>
              <w:bottom w:w="60"/>
              <w:left w:w="100"/>
              <w:right w:w="100"/>
            </w:tcMar>
          </w:tcPr>
          <w:p>
            <w:r>
              <w:rPr>
                <w:sz w:val="17"/>
              </w:rPr>
              <w:t>0.6029</w:t>
            </w:r>
          </w:p>
        </w:tc>
        <w:tc>
          <w:tcPr>
            <w:tcMar>
              <w:top w:w="60"/>
              <w:bottom w:w="60"/>
              <w:left w:w="100"/>
              <w:right w:w="100"/>
            </w:tcMar>
          </w:tcPr>
          <w:p>
            <w:r>
              <w:rPr>
                <w:sz w:val="17"/>
              </w:rPr>
              <w:t>38.6%</w:t>
            </w:r>
          </w:p>
        </w:tc>
        <w:tc>
          <w:tcPr>
            <w:tcMar>
              <w:top w:w="60"/>
              <w:bottom w:w="60"/>
              <w:left w:w="100"/>
              <w:right w:w="100"/>
            </w:tcMar>
          </w:tcPr>
          <w:p>
            <w:r>
              <w:rPr>
                <w:sz w:val="17"/>
              </w:rPr>
              <w:t>10.8%</w:t>
            </w:r>
          </w:p>
        </w:tc>
      </w:tr>
      <w:tr>
        <w:tc>
          <w:tcPr>
            <w:tcMar>
              <w:top w:w="60"/>
              <w:bottom w:w="60"/>
              <w:left w:w="100"/>
              <w:right w:w="100"/>
            </w:tcMar>
          </w:tcPr>
          <w:p>
            <w:r>
              <w:rPr>
                <w:sz w:val="17"/>
              </w:rPr>
              <w:t>0.40</w:t>
            </w:r>
          </w:p>
        </w:tc>
        <w:tc>
          <w:tcPr>
            <w:tcMar>
              <w:top w:w="60"/>
              <w:bottom w:w="60"/>
              <w:left w:w="100"/>
              <w:right w:w="100"/>
            </w:tcMar>
          </w:tcPr>
          <w:p>
            <w:r>
              <w:rPr>
                <w:sz w:val="17"/>
              </w:rPr>
              <w:t>0.7370</w:t>
            </w:r>
          </w:p>
        </w:tc>
        <w:tc>
          <w:tcPr>
            <w:tcMar>
              <w:top w:w="60"/>
              <w:bottom w:w="60"/>
              <w:left w:w="100"/>
              <w:right w:w="100"/>
            </w:tcMar>
          </w:tcPr>
          <w:p>
            <w:r>
              <w:rPr>
                <w:sz w:val="17"/>
              </w:rPr>
              <w:t>0.5026</w:t>
            </w:r>
          </w:p>
        </w:tc>
        <w:tc>
          <w:tcPr>
            <w:tcMar>
              <w:top w:w="60"/>
              <w:bottom w:w="60"/>
              <w:left w:w="100"/>
              <w:right w:w="100"/>
            </w:tcMar>
          </w:tcPr>
          <w:p>
            <w:r>
              <w:rPr>
                <w:sz w:val="17"/>
              </w:rPr>
              <w:t>0.8355</w:t>
            </w:r>
          </w:p>
        </w:tc>
        <w:tc>
          <w:tcPr>
            <w:tcMar>
              <w:top w:w="60"/>
              <w:bottom w:w="60"/>
              <w:left w:w="100"/>
              <w:right w:w="100"/>
            </w:tcMar>
          </w:tcPr>
          <w:p>
            <w:r>
              <w:rPr>
                <w:sz w:val="17"/>
              </w:rPr>
              <w:t>0.6276</w:t>
            </w:r>
          </w:p>
        </w:tc>
        <w:tc>
          <w:tcPr>
            <w:tcMar>
              <w:top w:w="60"/>
              <w:bottom w:w="60"/>
              <w:left w:w="100"/>
              <w:right w:w="100"/>
            </w:tcMar>
          </w:tcPr>
          <w:p>
            <w:r>
              <w:rPr>
                <w:sz w:val="17"/>
              </w:rPr>
              <w:t>29.9%</w:t>
            </w:r>
          </w:p>
        </w:tc>
        <w:tc>
          <w:tcPr>
            <w:tcMar>
              <w:top w:w="60"/>
              <w:bottom w:w="60"/>
              <w:left w:w="100"/>
              <w:right w:w="100"/>
            </w:tcMar>
          </w:tcPr>
          <w:p>
            <w:r>
              <w:rPr>
                <w:sz w:val="17"/>
              </w:rPr>
              <w:t>16.5%</w:t>
            </w:r>
          </w:p>
        </w:tc>
      </w:tr>
      <w:tr>
        <w:tc>
          <w:tcPr>
            <w:tcMar>
              <w:top w:w="60"/>
              <w:bottom w:w="60"/>
              <w:left w:w="100"/>
              <w:right w:w="100"/>
            </w:tcMar>
          </w:tcPr>
          <w:p>
            <w:r>
              <w:rPr>
                <w:sz w:val="17"/>
              </w:rPr>
              <w:t>0.50 (Default)</w:t>
            </w:r>
          </w:p>
        </w:tc>
        <w:tc>
          <w:tcPr>
            <w:tcMar>
              <w:top w:w="60"/>
              <w:bottom w:w="60"/>
              <w:left w:w="100"/>
              <w:right w:w="100"/>
            </w:tcMar>
          </w:tcPr>
          <w:p>
            <w:r>
              <w:rPr>
                <w:sz w:val="17"/>
              </w:rPr>
              <w:t>0.7641</w:t>
            </w:r>
          </w:p>
        </w:tc>
        <w:tc>
          <w:tcPr>
            <w:tcMar>
              <w:top w:w="60"/>
              <w:bottom w:w="60"/>
              <w:left w:w="100"/>
              <w:right w:w="100"/>
            </w:tcMar>
          </w:tcPr>
          <w:p>
            <w:r>
              <w:rPr>
                <w:sz w:val="17"/>
              </w:rPr>
              <w:t>0.5385</w:t>
            </w:r>
          </w:p>
        </w:tc>
        <w:tc>
          <w:tcPr>
            <w:tcMar>
              <w:top w:w="60"/>
              <w:bottom w:w="60"/>
              <w:left w:w="100"/>
              <w:right w:w="100"/>
            </w:tcMar>
          </w:tcPr>
          <w:p>
            <w:r>
              <w:rPr>
                <w:sz w:val="17"/>
              </w:rPr>
              <w:t>0.7773</w:t>
            </w:r>
          </w:p>
        </w:tc>
        <w:tc>
          <w:tcPr>
            <w:tcMar>
              <w:top w:w="60"/>
              <w:bottom w:w="60"/>
              <w:left w:w="100"/>
              <w:right w:w="100"/>
            </w:tcMar>
          </w:tcPr>
          <w:p>
            <w:r>
              <w:rPr>
                <w:sz w:val="17"/>
              </w:rPr>
              <w:t>0.6362</w:t>
            </w:r>
          </w:p>
        </w:tc>
        <w:tc>
          <w:tcPr>
            <w:tcMar>
              <w:top w:w="60"/>
              <w:bottom w:w="60"/>
              <w:left w:w="100"/>
              <w:right w:w="100"/>
            </w:tcMar>
          </w:tcPr>
          <w:p>
            <w:r>
              <w:rPr>
                <w:sz w:val="17"/>
              </w:rPr>
              <w:t>24.1%</w:t>
            </w:r>
          </w:p>
        </w:tc>
        <w:tc>
          <w:tcPr>
            <w:tcMar>
              <w:top w:w="60"/>
              <w:bottom w:w="60"/>
              <w:left w:w="100"/>
              <w:right w:w="100"/>
            </w:tcMar>
          </w:tcPr>
          <w:p>
            <w:r>
              <w:rPr>
                <w:sz w:val="17"/>
              </w:rPr>
              <w:t>22.3%</w:t>
            </w:r>
          </w:p>
        </w:tc>
      </w:tr>
      <w:tr>
        <w:tc>
          <w:tcPr>
            <w:tcMar>
              <w:top w:w="60"/>
              <w:bottom w:w="60"/>
              <w:left w:w="100"/>
              <w:right w:w="100"/>
            </w:tcMar>
          </w:tcPr>
          <w:p>
            <w:r>
              <w:rPr>
                <w:sz w:val="17"/>
              </w:rPr>
              <w:t>0.60</w:t>
            </w:r>
          </w:p>
        </w:tc>
        <w:tc>
          <w:tcPr>
            <w:tcMar>
              <w:top w:w="60"/>
              <w:bottom w:w="60"/>
              <w:left w:w="100"/>
              <w:right w:w="100"/>
            </w:tcMar>
          </w:tcPr>
          <w:p>
            <w:r>
              <w:rPr>
                <w:sz w:val="17"/>
              </w:rPr>
              <w:t>0.7863</w:t>
            </w:r>
          </w:p>
        </w:tc>
        <w:tc>
          <w:tcPr>
            <w:tcMar>
              <w:top w:w="60"/>
              <w:bottom w:w="60"/>
              <w:left w:w="100"/>
              <w:right w:w="100"/>
            </w:tcMar>
          </w:tcPr>
          <w:p>
            <w:r>
              <w:rPr>
                <w:sz w:val="17"/>
              </w:rPr>
              <w:t>0.5794</w:t>
            </w:r>
          </w:p>
        </w:tc>
        <w:tc>
          <w:tcPr>
            <w:tcMar>
              <w:top w:w="60"/>
              <w:bottom w:w="60"/>
              <w:left w:w="100"/>
              <w:right w:w="100"/>
            </w:tcMar>
          </w:tcPr>
          <w:p>
            <w:r>
              <w:rPr>
                <w:sz w:val="17"/>
              </w:rPr>
              <w:t>0.7104</w:t>
            </w:r>
          </w:p>
        </w:tc>
        <w:tc>
          <w:tcPr>
            <w:tcMar>
              <w:top w:w="60"/>
              <w:bottom w:w="60"/>
              <w:left w:w="100"/>
              <w:right w:w="100"/>
            </w:tcMar>
          </w:tcPr>
          <w:p>
            <w:r>
              <w:rPr>
                <w:sz w:val="17"/>
              </w:rPr>
              <w:t>0.6382</w:t>
            </w:r>
          </w:p>
        </w:tc>
        <w:tc>
          <w:tcPr>
            <w:tcMar>
              <w:top w:w="60"/>
              <w:bottom w:w="60"/>
              <w:left w:w="100"/>
              <w:right w:w="100"/>
            </w:tcMar>
          </w:tcPr>
          <w:p>
            <w:r>
              <w:rPr>
                <w:sz w:val="17"/>
              </w:rPr>
              <w:t>18.6%</w:t>
            </w:r>
          </w:p>
        </w:tc>
        <w:tc>
          <w:tcPr>
            <w:tcMar>
              <w:top w:w="60"/>
              <w:bottom w:w="60"/>
              <w:left w:w="100"/>
              <w:right w:w="100"/>
            </w:tcMar>
          </w:tcPr>
          <w:p>
            <w:r>
              <w:rPr>
                <w:sz w:val="17"/>
              </w:rPr>
              <w:t>29.0%</w:t>
            </w:r>
          </w:p>
        </w:tc>
      </w:tr>
      <w:tr>
        <w:tc>
          <w:tcPr>
            <w:tcMar>
              <w:top w:w="60"/>
              <w:bottom w:w="60"/>
              <w:left w:w="100"/>
              <w:right w:w="100"/>
            </w:tcMar>
          </w:tcPr>
          <w:p>
            <w:r>
              <w:rPr>
                <w:sz w:val="17"/>
              </w:rPr>
              <w:t>0.70</w:t>
            </w:r>
          </w:p>
        </w:tc>
        <w:tc>
          <w:tcPr>
            <w:tcMar>
              <w:top w:w="60"/>
              <w:bottom w:w="60"/>
              <w:left w:w="100"/>
              <w:right w:w="100"/>
            </w:tcMar>
          </w:tcPr>
          <w:p>
            <w:r>
              <w:rPr>
                <w:sz w:val="17"/>
              </w:rPr>
              <w:t>0.7993</w:t>
            </w:r>
          </w:p>
        </w:tc>
        <w:tc>
          <w:tcPr>
            <w:tcMar>
              <w:top w:w="60"/>
              <w:bottom w:w="60"/>
              <w:left w:w="100"/>
              <w:right w:w="100"/>
            </w:tcMar>
          </w:tcPr>
          <w:p>
            <w:r>
              <w:rPr>
                <w:sz w:val="17"/>
              </w:rPr>
              <w:t>0.6273</w:t>
            </w:r>
          </w:p>
        </w:tc>
        <w:tc>
          <w:tcPr>
            <w:tcMar>
              <w:top w:w="60"/>
              <w:bottom w:w="60"/>
              <w:left w:w="100"/>
              <w:right w:w="100"/>
            </w:tcMar>
          </w:tcPr>
          <w:p>
            <w:r>
              <w:rPr>
                <w:sz w:val="17"/>
              </w:rPr>
              <w:t>0.6000</w:t>
            </w:r>
          </w:p>
        </w:tc>
        <w:tc>
          <w:tcPr>
            <w:tcMar>
              <w:top w:w="60"/>
              <w:bottom w:w="60"/>
              <w:left w:w="100"/>
              <w:right w:w="100"/>
            </w:tcMar>
          </w:tcPr>
          <w:p>
            <w:r>
              <w:rPr>
                <w:sz w:val="17"/>
              </w:rPr>
              <w:t>0.6133</w:t>
            </w:r>
          </w:p>
        </w:tc>
        <w:tc>
          <w:tcPr>
            <w:tcMar>
              <w:top w:w="60"/>
              <w:bottom w:w="60"/>
              <w:left w:w="100"/>
              <w:right w:w="100"/>
            </w:tcMar>
          </w:tcPr>
          <w:p>
            <w:r>
              <w:rPr>
                <w:sz w:val="17"/>
              </w:rPr>
              <w:t>12.9%</w:t>
            </w:r>
          </w:p>
        </w:tc>
        <w:tc>
          <w:tcPr>
            <w:tcMar>
              <w:top w:w="60"/>
              <w:bottom w:w="60"/>
              <w:left w:w="100"/>
              <w:right w:w="100"/>
            </w:tcMar>
          </w:tcPr>
          <w:p>
            <w:r>
              <w:rPr>
                <w:sz w:val="17"/>
              </w:rPr>
              <w:t>40.0%</w:t>
            </w:r>
          </w:p>
        </w:tc>
      </w:tr>
    </w:tbl>
    <w:p>
      <w:pPr>
        <w:spacing w:after="160"/>
      </w:pPr>
    </w:p>
    <w:p>
      <w:pPr>
        <w:pStyle w:val="Heading2"/>
        <w:spacing w:before="160" w:after="60"/>
      </w:pPr>
      <w:r>
        <w:rPr>
          <w:b/>
          <w:i/>
          <w:sz w:val="20"/>
        </w:rPr>
        <w:t>B. Explainability and Retention Recommendations</w:t>
      </w:r>
    </w:p>
    <w:p>
      <w:pPr>
        <w:jc w:val="both"/>
        <w:ind w:firstLine="280"/>
      </w:pPr>
      <w:r>
        <w:rPr>
          <w:sz w:val="20"/>
          <w:szCs w:val="20"/>
        </w:rPr>
        <w:t xml:space="preserve">Fig. 6 illustrates global SHAP feature importance: ChargeIncrease (0.1104), ChargeRatio (0.0939), MonthlyCharges (0.0883), and TotalCharges (0.0867) dominate churn risk.</w:t>
      </w:r>
    </w:p>
    <w:p>
      <w:pPr>
        <w:jc w:val="center"/>
      </w:pPr>
      <w:r>
        <w:drawing>
          <wp:inline xmlns:wp="http://schemas.openxmlformats.org/drawingml/2006/wordprocessingDrawing" distT="0" distB="0" distL="0" distR="0">
            <wp:extent cx="5400000" cy="3000000"/>
            <wp:docPr id="1" name="Global SHAP Feature Importance"/>
            <a:graphic xmlns:a="http://schemas.openxmlformats.org/drawingml/2006/main">
              <a:graphicData uri="http://schemas.openxmlformats.org/drawingml/2006/picture">
                <pic:pic xmlns:pic="http://schemas.openxmlformats.org/drawingml/2006/picture">
                  <pic:nvPicPr>
                    <pic:cNvPr id="0" name="Global SHAP Feature Importance"/>
                    <pic:cNvPicPr/>
                  </pic:nvPicPr>
                  <pic:blipFill>
                    <a:blip xmlns:r="http://schemas.openxmlformats.org/officeDocument/2006/relationships" r:embed="rIdImg6"/>
                    <a:stretch>
                      <a:fillRect/>
                    </a:stretch>
                  </pic:blipFill>
                  <pic:spPr>
                    <a:xfrm>
                      <a:off x="0" y="0"/>
                      <a:ext cx="5400000" cy="3000000"/>
                    </a:xfrm>
                    <a:prstGeom prst="rect">
                      <a:avLst/>
                    </a:prstGeom>
                  </pic:spPr>
                </pic:pic>
              </a:graphicData>
            </a:graphic>
          </wp:inline>
        </w:drawing>
      </w:r>
    </w:p>
    <w:p>
      <w:pPr>
        <w:jc w:val="center"/>
        <w:spacing w:after="160"/>
      </w:pPr>
      <w:r>
        <w:rPr>
          <w:b/>
          <w:sz w:val="18"/>
        </w:rPr>
        <w:t>Fig. 6. </w:t>
      </w:r>
      <w:r>
        <w:rPr>
          <w:sz w:val="18"/>
        </w:rPr>
        <w:t>Global Feature Importance Ranking (Top 14 Drivers) calculated via Mean Absolute SHAP values.</w:t>
      </w:r>
    </w:p>
    <w:p>
      <w:pPr>
        <w:jc w:val="center"/>
      </w:pPr>
      <w:r>
        <w:drawing>
          <wp:inline xmlns:wp="http://schemas.openxmlformats.org/drawingml/2006/wordprocessingDrawing" distT="0" distB="0" distL="0" distR="0">
            <wp:extent cx="5400000" cy="2800000"/>
            <wp:docPr id="1" name="Customer-Level Local Explanation"/>
            <a:graphic xmlns:a="http://schemas.openxmlformats.org/drawingml/2006/main">
              <a:graphicData uri="http://schemas.openxmlformats.org/drawingml/2006/picture">
                <pic:pic xmlns:pic="http://schemas.openxmlformats.org/drawingml/2006/picture">
                  <pic:nvPicPr>
                    <pic:cNvPr id="0" name="Customer-Level Local Explanation"/>
                    <pic:cNvPicPr/>
                  </pic:nvPicPr>
                  <pic:blipFill>
                    <a:blip xmlns:r="http://schemas.openxmlformats.org/officeDocument/2006/relationships" r:embed="rIdImg7"/>
                    <a:stretch>
                      <a:fillRect/>
                    </a:stretch>
                  </pic:blipFill>
                  <pic:spPr>
                    <a:xfrm>
                      <a:off x="0" y="0"/>
                      <a:ext cx="5400000" cy="2800000"/>
                    </a:xfrm>
                    <a:prstGeom prst="rect">
                      <a:avLst/>
                    </a:prstGeom>
                  </pic:spPr>
                </pic:pic>
              </a:graphicData>
            </a:graphic>
          </wp:inline>
        </w:drawing>
      </w:r>
    </w:p>
    <w:p>
      <w:pPr>
        <w:jc w:val="center"/>
        <w:spacing w:after="160"/>
      </w:pPr>
      <w:r>
        <w:rPr>
          <w:b/>
          <w:sz w:val="18"/>
        </w:rPr>
        <w:t>Fig. 7. </w:t>
      </w:r>
      <w:r>
        <w:rPr>
          <w:sz w:val="18"/>
        </w:rPr>
        <w:t>Customer-Level Local Explanation: SHAP feature decomposition pushing prediction from baseline P_0=0.265 to final P=0.775.</w:t>
      </w:r>
    </w:p>
    <w:p>
      <w:pPr>
        <w:jc w:val="center"/>
        <w:spacing w:before="160" w:after="60"/>
      </w:pPr>
      <w:r>
        <w:rPr>
          <w:b/>
          <w:caps/>
          <w:sz w:val="18"/>
        </w:rPr>
        <w:t>TABLE VIII: RETENTION RECOMMENDATION CATALOG AND OPERATIONAL ACTION SCORING</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Rank</w:t>
            </w:r>
          </w:p>
        </w:tc>
        <w:tc>
          <w:tcPr>
            <w:shd w:val="clear" w:color="auto" w:fill="F2F4F7"/>
            <w:tcMar>
              <w:top w:w="80"/>
              <w:bottom w:w="80"/>
              <w:left w:w="120"/>
              <w:right w:w="120"/>
            </w:tcMar>
          </w:tcPr>
          <w:p>
            <w:pPr>
              <w:jc w:val="center"/>
            </w:pPr>
            <w:r>
              <w:rPr>
                <w:b/>
                <w:sz w:val="17"/>
              </w:rPr>
              <w:t>Factor Category</w:t>
            </w:r>
          </w:p>
        </w:tc>
        <w:tc>
          <w:tcPr>
            <w:shd w:val="clear" w:color="auto" w:fill="F2F4F7"/>
            <w:tcMar>
              <w:top w:w="80"/>
              <w:bottom w:w="80"/>
              <w:left w:w="120"/>
              <w:right w:w="120"/>
            </w:tcMar>
          </w:tcPr>
          <w:p>
            <w:pPr>
              <w:jc w:val="center"/>
            </w:pPr>
            <w:r>
              <w:rPr>
                <w:b/>
                <w:sz w:val="17"/>
              </w:rPr>
              <w:t>Trigger Condition</w:t>
            </w:r>
          </w:p>
        </w:tc>
        <w:tc>
          <w:tcPr>
            <w:shd w:val="clear" w:color="auto" w:fill="F2F4F7"/>
            <w:tcMar>
              <w:top w:w="80"/>
              <w:bottom w:w="80"/>
              <w:left w:w="120"/>
              <w:right w:w="120"/>
            </w:tcMar>
          </w:tcPr>
          <w:p>
            <w:pPr>
              <w:jc w:val="center"/>
            </w:pPr>
            <w:r>
              <w:rPr>
                <w:b/>
                <w:sz w:val="17"/>
              </w:rPr>
              <w:t>Priority</w:t>
            </w:r>
          </w:p>
        </w:tc>
        <w:tc>
          <w:tcPr>
            <w:shd w:val="clear" w:color="auto" w:fill="F2F4F7"/>
            <w:tcMar>
              <w:top w:w="80"/>
              <w:bottom w:w="80"/>
              <w:left w:w="120"/>
              <w:right w:w="120"/>
            </w:tcMar>
          </w:tcPr>
          <w:p>
            <w:pPr>
              <w:jc w:val="center"/>
            </w:pPr>
            <w:r>
              <w:rPr>
                <w:b/>
                <w:sz w:val="17"/>
              </w:rPr>
              <w:t>Score</w:t>
            </w:r>
          </w:p>
        </w:tc>
        <w:tc>
          <w:tcPr>
            <w:shd w:val="clear" w:color="auto" w:fill="F2F4F7"/>
            <w:tcMar>
              <w:top w:w="80"/>
              <w:bottom w:w="80"/>
              <w:left w:w="120"/>
              <w:right w:w="120"/>
            </w:tcMar>
          </w:tcPr>
          <w:p>
            <w:pPr>
              <w:jc w:val="center"/>
            </w:pPr>
            <w:r>
              <w:rPr>
                <w:b/>
                <w:sz w:val="17"/>
              </w:rPr>
              <w:t>Owner</w:t>
            </w:r>
          </w:p>
        </w:tc>
        <w:tc>
          <w:tcPr>
            <w:shd w:val="clear" w:color="auto" w:fill="F2F4F7"/>
            <w:tcMar>
              <w:top w:w="80"/>
              <w:bottom w:w="80"/>
              <w:left w:w="120"/>
              <w:right w:w="120"/>
            </w:tcMar>
          </w:tcPr>
          <w:p>
            <w:pPr>
              <w:jc w:val="center"/>
            </w:pPr>
            <w:r>
              <w:rPr>
                <w:b/>
                <w:sz w:val="17"/>
              </w:rPr>
              <w:t>Recommended Action</w:t>
            </w:r>
          </w:p>
        </w:tc>
        <w:tc>
          <w:tcPr>
            <w:shd w:val="clear" w:color="auto" w:fill="F2F4F7"/>
            <w:tcMar>
              <w:top w:w="80"/>
              <w:bottom w:w="80"/>
              <w:left w:w="120"/>
              <w:right w:w="120"/>
            </w:tcMar>
          </w:tcPr>
          <w:p>
            <w:pPr>
              <w:jc w:val="center"/>
            </w:pPr>
            <w:r>
              <w:rPr>
                <w:b/>
                <w:sz w:val="17"/>
              </w:rPr>
              <w:t>Timeframe</w:t>
            </w:r>
          </w:p>
        </w:tc>
      </w:tr>
      <w:tr>
        <w:tc>
          <w:tcPr>
            <w:tcMar>
              <w:top w:w="60"/>
              <w:bottom w:w="60"/>
              <w:left w:w="100"/>
              <w:right w:w="100"/>
            </w:tcMar>
          </w:tcPr>
          <w:p>
            <w:r>
              <w:rPr>
                <w:sz w:val="17"/>
              </w:rPr>
              <w:t>1</w:t>
            </w:r>
          </w:p>
        </w:tc>
        <w:tc>
          <w:tcPr>
            <w:tcMar>
              <w:top w:w="60"/>
              <w:bottom w:w="60"/>
              <w:left w:w="100"/>
              <w:right w:w="100"/>
            </w:tcMar>
          </w:tcPr>
          <w:p>
            <w:r>
              <w:rPr>
                <w:sz w:val="17"/>
              </w:rPr>
              <w:t>Contract/Commitment</w:t>
            </w:r>
          </w:p>
        </w:tc>
        <w:tc>
          <w:tcPr>
            <w:tcMar>
              <w:top w:w="60"/>
              <w:bottom w:w="60"/>
              <w:left w:w="100"/>
              <w:right w:w="100"/>
            </w:tcMar>
          </w:tcPr>
          <w:p>
            <w:r>
              <w:rPr>
                <w:sz w:val="17"/>
              </w:rPr>
              <w:t>Contract = Month-to-month</w:t>
            </w:r>
          </w:p>
        </w:tc>
        <w:tc>
          <w:tcPr>
            <w:tcMar>
              <w:top w:w="60"/>
              <w:bottom w:w="60"/>
              <w:left w:w="100"/>
              <w:right w:w="100"/>
            </w:tcMar>
          </w:tcPr>
          <w:p>
            <w:r>
              <w:rPr>
                <w:sz w:val="17"/>
              </w:rPr>
              <w:t>CRITICAL</w:t>
            </w:r>
          </w:p>
        </w:tc>
        <w:tc>
          <w:tcPr>
            <w:tcMar>
              <w:top w:w="60"/>
              <w:bottom w:w="60"/>
              <w:left w:w="100"/>
              <w:right w:w="100"/>
            </w:tcMar>
          </w:tcPr>
          <w:p>
            <w:r>
              <w:rPr>
                <w:sz w:val="17"/>
              </w:rPr>
              <w:t>1.485</w:t>
            </w:r>
          </w:p>
        </w:tc>
        <w:tc>
          <w:tcPr>
            <w:tcMar>
              <w:top w:w="60"/>
              <w:bottom w:w="60"/>
              <w:left w:w="100"/>
              <w:right w:w="100"/>
            </w:tcMar>
          </w:tcPr>
          <w:p>
            <w:r>
              <w:rPr>
                <w:sz w:val="17"/>
              </w:rPr>
              <w:t>Retention Desk</w:t>
            </w:r>
          </w:p>
        </w:tc>
        <w:tc>
          <w:tcPr>
            <w:tcMar>
              <w:top w:w="60"/>
              <w:bottom w:w="60"/>
              <w:left w:w="100"/>
              <w:right w:w="100"/>
            </w:tcMar>
          </w:tcPr>
          <w:p>
            <w:r>
              <w:rPr>
                <w:sz w:val="17"/>
              </w:rPr>
              <w:t>Offer 12/24-mo contract with 15% discount</w:t>
            </w:r>
          </w:p>
        </w:tc>
        <w:tc>
          <w:tcPr>
            <w:tcMar>
              <w:top w:w="60"/>
              <w:bottom w:w="60"/>
              <w:left w:w="100"/>
              <w:right w:w="100"/>
            </w:tcMar>
          </w:tcPr>
          <w:p>
            <w:r>
              <w:rPr>
                <w:sz w:val="17"/>
              </w:rPr>
              <w:t>Immediate (24-48h)</w:t>
            </w:r>
          </w:p>
        </w:tc>
      </w:tr>
      <w:tr>
        <w:tc>
          <w:tcPr>
            <w:tcMar>
              <w:top w:w="60"/>
              <w:bottom w:w="60"/>
              <w:left w:w="100"/>
              <w:right w:w="100"/>
            </w:tcMar>
          </w:tcPr>
          <w:p>
            <w:r>
              <w:rPr>
                <w:sz w:val="17"/>
              </w:rPr>
              <w:t>2</w:t>
            </w:r>
          </w:p>
        </w:tc>
        <w:tc>
          <w:tcPr>
            <w:tcMar>
              <w:top w:w="60"/>
              <w:bottom w:w="60"/>
              <w:left w:w="100"/>
              <w:right w:w="100"/>
            </w:tcMar>
          </w:tcPr>
          <w:p>
            <w:r>
              <w:rPr>
                <w:sz w:val="17"/>
              </w:rPr>
              <w:t>Payment Method</w:t>
            </w:r>
          </w:p>
        </w:tc>
        <w:tc>
          <w:tcPr>
            <w:tcMar>
              <w:top w:w="60"/>
              <w:bottom w:w="60"/>
              <w:left w:w="100"/>
              <w:right w:w="100"/>
            </w:tcMar>
          </w:tcPr>
          <w:p>
            <w:r>
              <w:rPr>
                <w:sz w:val="17"/>
              </w:rPr>
              <w:t>PaymentMethod = Electronic check</w:t>
            </w:r>
          </w:p>
        </w:tc>
        <w:tc>
          <w:tcPr>
            <w:tcMar>
              <w:top w:w="60"/>
              <w:bottom w:w="60"/>
              <w:left w:w="100"/>
              <w:right w:w="100"/>
            </w:tcMar>
          </w:tcPr>
          <w:p>
            <w:r>
              <w:rPr>
                <w:sz w:val="17"/>
              </w:rPr>
              <w:t>HIGH</w:t>
            </w:r>
          </w:p>
        </w:tc>
        <w:tc>
          <w:tcPr>
            <w:tcMar>
              <w:top w:w="60"/>
              <w:bottom w:w="60"/>
              <w:left w:w="100"/>
              <w:right w:w="100"/>
            </w:tcMar>
          </w:tcPr>
          <w:p>
            <w:r>
              <w:rPr>
                <w:sz w:val="17"/>
              </w:rPr>
              <w:t>0.891</w:t>
            </w:r>
          </w:p>
        </w:tc>
        <w:tc>
          <w:tcPr>
            <w:tcMar>
              <w:top w:w="60"/>
              <w:bottom w:w="60"/>
              <w:left w:w="100"/>
              <w:right w:w="100"/>
            </w:tcMar>
          </w:tcPr>
          <w:p>
            <w:r>
              <w:rPr>
                <w:sz w:val="17"/>
              </w:rPr>
              <w:t>Billing Ops</w:t>
            </w:r>
          </w:p>
        </w:tc>
        <w:tc>
          <w:tcPr>
            <w:tcMar>
              <w:top w:w="60"/>
              <w:bottom w:w="60"/>
              <w:left w:w="100"/>
              <w:right w:w="100"/>
            </w:tcMar>
          </w:tcPr>
          <w:p>
            <w:r>
              <w:rPr>
                <w:sz w:val="17"/>
              </w:rPr>
              <w:t>Migrate to Automated Bank/Card debit ($5 credit)</w:t>
            </w:r>
          </w:p>
        </w:tc>
        <w:tc>
          <w:tcPr>
            <w:tcMar>
              <w:top w:w="60"/>
              <w:bottom w:w="60"/>
              <w:left w:w="100"/>
              <w:right w:w="100"/>
            </w:tcMar>
          </w:tcPr>
          <w:p>
            <w:r>
              <w:rPr>
                <w:sz w:val="17"/>
              </w:rPr>
              <w:t>Short-Term (7d)</w:t>
            </w:r>
          </w:p>
        </w:tc>
      </w:tr>
      <w:tr>
        <w:tc>
          <w:tcPr>
            <w:tcMar>
              <w:top w:w="60"/>
              <w:bottom w:w="60"/>
              <w:left w:w="100"/>
              <w:right w:w="100"/>
            </w:tcMar>
          </w:tcPr>
          <w:p>
            <w:r>
              <w:rPr>
                <w:sz w:val="17"/>
              </w:rPr>
              <w:t>3</w:t>
            </w:r>
          </w:p>
        </w:tc>
        <w:tc>
          <w:tcPr>
            <w:tcMar>
              <w:top w:w="60"/>
              <w:bottom w:w="60"/>
              <w:left w:w="100"/>
              <w:right w:w="100"/>
            </w:tcMar>
          </w:tcPr>
          <w:p>
            <w:r>
              <w:rPr>
                <w:sz w:val="17"/>
              </w:rPr>
              <w:t>Billing Spike</w:t>
            </w:r>
          </w:p>
        </w:tc>
        <w:tc>
          <w:tcPr>
            <w:tcMar>
              <w:top w:w="60"/>
              <w:bottom w:w="60"/>
              <w:left w:w="100"/>
              <w:right w:w="100"/>
            </w:tcMar>
          </w:tcPr>
          <w:p>
            <w:r>
              <w:rPr>
                <w:sz w:val="17"/>
              </w:rPr>
              <w:t>ChargeIncrease &gt;= $3.00</w:t>
            </w:r>
          </w:p>
        </w:tc>
        <w:tc>
          <w:tcPr>
            <w:tcMar>
              <w:top w:w="60"/>
              <w:bottom w:w="60"/>
              <w:left w:w="100"/>
              <w:right w:w="100"/>
            </w:tcMar>
          </w:tcPr>
          <w:p>
            <w:r>
              <w:rPr>
                <w:sz w:val="17"/>
              </w:rPr>
              <w:t>HIGH</w:t>
            </w:r>
          </w:p>
        </w:tc>
        <w:tc>
          <w:tcPr>
            <w:tcMar>
              <w:top w:w="60"/>
              <w:bottom w:w="60"/>
              <w:left w:w="100"/>
              <w:right w:w="100"/>
            </w:tcMar>
          </w:tcPr>
          <w:p>
            <w:r>
              <w:rPr>
                <w:sz w:val="17"/>
              </w:rPr>
              <w:t>0.792</w:t>
            </w:r>
          </w:p>
        </w:tc>
        <w:tc>
          <w:tcPr>
            <w:tcMar>
              <w:top w:w="60"/>
              <w:bottom w:w="60"/>
              <w:left w:w="100"/>
              <w:right w:w="100"/>
            </w:tcMar>
          </w:tcPr>
          <w:p>
            <w:r>
              <w:rPr>
                <w:sz w:val="17"/>
              </w:rPr>
              <w:t>Account Care</w:t>
            </w:r>
          </w:p>
        </w:tc>
        <w:tc>
          <w:tcPr>
            <w:tcMar>
              <w:top w:w="60"/>
              <w:bottom w:w="60"/>
              <w:left w:w="100"/>
              <w:right w:w="100"/>
            </w:tcMar>
          </w:tcPr>
          <w:p>
            <w:r>
              <w:rPr>
                <w:sz w:val="17"/>
              </w:rPr>
              <w:t>Review recent bill spike; apply one-time waiver</w:t>
            </w:r>
          </w:p>
        </w:tc>
        <w:tc>
          <w:tcPr>
            <w:tcMar>
              <w:top w:w="60"/>
              <w:bottom w:w="60"/>
              <w:left w:w="100"/>
              <w:right w:w="100"/>
            </w:tcMar>
          </w:tcPr>
          <w:p>
            <w:r>
              <w:rPr>
                <w:sz w:val="17"/>
              </w:rPr>
              <w:t>Immediate (24-48h)</w:t>
            </w:r>
          </w:p>
        </w:tc>
      </w:tr>
      <w:tr>
        <w:tc>
          <w:tcPr>
            <w:tcMar>
              <w:top w:w="60"/>
              <w:bottom w:w="60"/>
              <w:left w:w="100"/>
              <w:right w:w="100"/>
            </w:tcMar>
          </w:tcPr>
          <w:p>
            <w:r>
              <w:rPr>
                <w:sz w:val="17"/>
              </w:rPr>
              <w:t>4</w:t>
            </w:r>
          </w:p>
        </w:tc>
        <w:tc>
          <w:tcPr>
            <w:tcMar>
              <w:top w:w="60"/>
              <w:bottom w:w="60"/>
              <w:left w:w="100"/>
              <w:right w:w="100"/>
            </w:tcMar>
          </w:tcPr>
          <w:p>
            <w:r>
              <w:rPr>
                <w:sz w:val="17"/>
              </w:rPr>
              <w:t>Pricing / Plan</w:t>
            </w:r>
          </w:p>
        </w:tc>
        <w:tc>
          <w:tcPr>
            <w:tcMar>
              <w:top w:w="60"/>
              <w:bottom w:w="60"/>
              <w:left w:w="100"/>
              <w:right w:w="100"/>
            </w:tcMar>
          </w:tcPr>
          <w:p>
            <w:r>
              <w:rPr>
                <w:sz w:val="17"/>
              </w:rPr>
              <w:t>MonthlyCharges &gt;= $70.00</w:t>
            </w:r>
          </w:p>
        </w:tc>
        <w:tc>
          <w:tcPr>
            <w:tcMar>
              <w:top w:w="60"/>
              <w:bottom w:w="60"/>
              <w:left w:w="100"/>
              <w:right w:w="100"/>
            </w:tcMar>
          </w:tcPr>
          <w:p>
            <w:r>
              <w:rPr>
                <w:sz w:val="17"/>
              </w:rPr>
              <w:t>HIGH</w:t>
            </w:r>
          </w:p>
        </w:tc>
        <w:tc>
          <w:tcPr>
            <w:tcMar>
              <w:top w:w="60"/>
              <w:bottom w:w="60"/>
              <w:left w:w="100"/>
              <w:right w:w="100"/>
            </w:tcMar>
          </w:tcPr>
          <w:p>
            <w:r>
              <w:rPr>
                <w:sz w:val="17"/>
              </w:rPr>
              <w:t>0.693</w:t>
            </w:r>
          </w:p>
        </w:tc>
        <w:tc>
          <w:tcPr>
            <w:tcMar>
              <w:top w:w="60"/>
              <w:bottom w:w="60"/>
              <w:left w:w="100"/>
              <w:right w:w="100"/>
            </w:tcMar>
          </w:tcPr>
          <w:p>
            <w:r>
              <w:rPr>
                <w:sz w:val="17"/>
              </w:rPr>
              <w:t>Loyalty Team</w:t>
            </w:r>
          </w:p>
        </w:tc>
        <w:tc>
          <w:tcPr>
            <w:tcMar>
              <w:top w:w="60"/>
              <w:bottom w:w="60"/>
              <w:left w:w="100"/>
              <w:right w:w="100"/>
            </w:tcMar>
          </w:tcPr>
          <w:p>
            <w:r>
              <w:rPr>
                <w:sz w:val="17"/>
              </w:rPr>
              <w:t>Audit usage; propose optimized quad-play bundle</w:t>
            </w:r>
          </w:p>
        </w:tc>
        <w:tc>
          <w:tcPr>
            <w:tcMar>
              <w:top w:w="60"/>
              <w:bottom w:w="60"/>
              <w:left w:w="100"/>
              <w:right w:w="100"/>
            </w:tcMar>
          </w:tcPr>
          <w:p>
            <w:r>
              <w:rPr>
                <w:sz w:val="17"/>
              </w:rPr>
              <w:t>Short-Term (7d)</w:t>
            </w:r>
          </w:p>
        </w:tc>
      </w:tr>
      <w:tr>
        <w:tc>
          <w:tcPr>
            <w:tcMar>
              <w:top w:w="60"/>
              <w:bottom w:w="60"/>
              <w:left w:w="100"/>
              <w:right w:w="100"/>
            </w:tcMar>
          </w:tcPr>
          <w:p>
            <w:r>
              <w:rPr>
                <w:sz w:val="17"/>
              </w:rPr>
              <w:t>5</w:t>
            </w:r>
          </w:p>
        </w:tc>
        <w:tc>
          <w:tcPr>
            <w:tcMar>
              <w:top w:w="60"/>
              <w:bottom w:w="60"/>
              <w:left w:w="100"/>
              <w:right w:w="100"/>
            </w:tcMar>
          </w:tcPr>
          <w:p>
            <w:r>
              <w:rPr>
                <w:sz w:val="17"/>
              </w:rPr>
              <w:t>Lifecycle / Onboarding</w:t>
            </w:r>
          </w:p>
        </w:tc>
        <w:tc>
          <w:tcPr>
            <w:tcMar>
              <w:top w:w="60"/>
              <w:bottom w:w="60"/>
              <w:left w:w="100"/>
              <w:right w:w="100"/>
            </w:tcMar>
          </w:tcPr>
          <w:p>
            <w:r>
              <w:rPr>
                <w:sz w:val="17"/>
              </w:rPr>
              <w:t>tenure &lt;= 12 months</w:t>
            </w:r>
          </w:p>
        </w:tc>
        <w:tc>
          <w:tcPr>
            <w:tcMar>
              <w:top w:w="60"/>
              <w:bottom w:w="60"/>
              <w:left w:w="100"/>
              <w:right w:w="100"/>
            </w:tcMar>
          </w:tcPr>
          <w:p>
            <w:r>
              <w:rPr>
                <w:sz w:val="17"/>
              </w:rPr>
              <w:t>MEDIUM</w:t>
            </w:r>
          </w:p>
        </w:tc>
        <w:tc>
          <w:tcPr>
            <w:tcMar>
              <w:top w:w="60"/>
              <w:bottom w:w="60"/>
              <w:left w:w="100"/>
              <w:right w:w="100"/>
            </w:tcMar>
          </w:tcPr>
          <w:p>
            <w:r>
              <w:rPr>
                <w:sz w:val="17"/>
              </w:rPr>
              <w:t>0.446</w:t>
            </w:r>
          </w:p>
        </w:tc>
        <w:tc>
          <w:tcPr>
            <w:tcMar>
              <w:top w:w="60"/>
              <w:bottom w:w="60"/>
              <w:left w:w="100"/>
              <w:right w:w="100"/>
            </w:tcMar>
          </w:tcPr>
          <w:p>
            <w:r>
              <w:rPr>
                <w:sz w:val="17"/>
              </w:rPr>
              <w:t>Customer Success</w:t>
            </w:r>
          </w:p>
        </w:tc>
        <w:tc>
          <w:tcPr>
            <w:tcMar>
              <w:top w:w="60"/>
              <w:bottom w:w="60"/>
              <w:left w:w="100"/>
              <w:right w:w="100"/>
            </w:tcMar>
          </w:tcPr>
          <w:p>
            <w:r>
              <w:rPr>
                <w:sz w:val="17"/>
              </w:rPr>
              <w:t>Schedule proactive VIP onboarding check-in call</w:t>
            </w:r>
          </w:p>
        </w:tc>
        <w:tc>
          <w:tcPr>
            <w:tcMar>
              <w:top w:w="60"/>
              <w:bottom w:w="60"/>
              <w:left w:w="100"/>
              <w:right w:w="100"/>
            </w:tcMar>
          </w:tcPr>
          <w:p>
            <w:r>
              <w:rPr>
                <w:sz w:val="17"/>
              </w:rPr>
              <w:t>Short-Term (7d)</w:t>
            </w:r>
          </w:p>
        </w:tc>
      </w:tr>
      <w:tr>
        <w:tc>
          <w:tcPr>
            <w:tcMar>
              <w:top w:w="60"/>
              <w:bottom w:w="60"/>
              <w:left w:w="100"/>
              <w:right w:w="100"/>
            </w:tcMar>
          </w:tcPr>
          <w:p>
            <w:r>
              <w:rPr>
                <w:sz w:val="17"/>
              </w:rPr>
              <w:t>6</w:t>
            </w:r>
          </w:p>
        </w:tc>
        <w:tc>
          <w:tcPr>
            <w:tcMar>
              <w:top w:w="60"/>
              <w:bottom w:w="60"/>
              <w:left w:w="100"/>
              <w:right w:w="100"/>
            </w:tcMar>
          </w:tcPr>
          <w:p>
            <w:r>
              <w:rPr>
                <w:sz w:val="17"/>
              </w:rPr>
              <w:t>Service Tier</w:t>
            </w:r>
          </w:p>
        </w:tc>
        <w:tc>
          <w:tcPr>
            <w:tcMar>
              <w:top w:w="60"/>
              <w:bottom w:w="60"/>
              <w:left w:w="100"/>
              <w:right w:w="100"/>
            </w:tcMar>
          </w:tcPr>
          <w:p>
            <w:r>
              <w:rPr>
                <w:sz w:val="17"/>
              </w:rPr>
              <w:t>InternetService = Fiber optic</w:t>
            </w:r>
          </w:p>
        </w:tc>
        <w:tc>
          <w:tcPr>
            <w:tcMar>
              <w:top w:w="60"/>
              <w:bottom w:w="60"/>
              <w:left w:w="100"/>
              <w:right w:w="100"/>
            </w:tcMar>
          </w:tcPr>
          <w:p>
            <w:r>
              <w:rPr>
                <w:sz w:val="17"/>
              </w:rPr>
              <w:t>MEDIUM</w:t>
            </w:r>
          </w:p>
        </w:tc>
        <w:tc>
          <w:tcPr>
            <w:tcMar>
              <w:top w:w="60"/>
              <w:bottom w:w="60"/>
              <w:left w:w="100"/>
              <w:right w:w="100"/>
            </w:tcMar>
          </w:tcPr>
          <w:p>
            <w:r>
              <w:rPr>
                <w:sz w:val="17"/>
              </w:rPr>
              <w:t>0.347</w:t>
            </w:r>
          </w:p>
        </w:tc>
        <w:tc>
          <w:tcPr>
            <w:tcMar>
              <w:top w:w="60"/>
              <w:bottom w:w="60"/>
              <w:left w:w="100"/>
              <w:right w:w="100"/>
            </w:tcMar>
          </w:tcPr>
          <w:p>
            <w:r>
              <w:rPr>
                <w:sz w:val="17"/>
              </w:rPr>
              <w:t>Tech Quality</w:t>
            </w:r>
          </w:p>
        </w:tc>
        <w:tc>
          <w:tcPr>
            <w:tcMar>
              <w:top w:w="60"/>
              <w:bottom w:w="60"/>
              <w:left w:w="100"/>
              <w:right w:w="100"/>
            </w:tcMar>
          </w:tcPr>
          <w:p>
            <w:r>
              <w:rPr>
                <w:sz w:val="17"/>
              </w:rPr>
              <w:t>Audit line SNR, speed tests, and past tickets</w:t>
            </w:r>
          </w:p>
        </w:tc>
        <w:tc>
          <w:tcPr>
            <w:tcMar>
              <w:top w:w="60"/>
              <w:bottom w:w="60"/>
              <w:left w:w="100"/>
              <w:right w:w="100"/>
            </w:tcMar>
          </w:tcPr>
          <w:p>
            <w:r>
              <w:rPr>
                <w:sz w:val="17"/>
              </w:rPr>
              <w:t>Long-Term (14d)</w:t>
            </w:r>
          </w:p>
        </w:tc>
      </w:tr>
      <w:tr>
        <w:tc>
          <w:tcPr>
            <w:tcMar>
              <w:top w:w="60"/>
              <w:bottom w:w="60"/>
              <w:left w:w="100"/>
              <w:right w:w="100"/>
            </w:tcMar>
          </w:tcPr>
          <w:p>
            <w:r>
              <w:rPr>
                <w:sz w:val="17"/>
              </w:rPr>
              <w:t>7</w:t>
            </w:r>
          </w:p>
        </w:tc>
        <w:tc>
          <w:tcPr>
            <w:tcMar>
              <w:top w:w="60"/>
              <w:bottom w:w="60"/>
              <w:left w:w="100"/>
              <w:right w:w="100"/>
            </w:tcMar>
          </w:tcPr>
          <w:p>
            <w:r>
              <w:rPr>
                <w:sz w:val="17"/>
              </w:rPr>
              <w:t>Service Experience</w:t>
            </w:r>
          </w:p>
        </w:tc>
        <w:tc>
          <w:tcPr>
            <w:tcMar>
              <w:top w:w="60"/>
              <w:bottom w:w="60"/>
              <w:left w:w="100"/>
              <w:right w:w="100"/>
            </w:tcMar>
          </w:tcPr>
          <w:p>
            <w:r>
              <w:rPr>
                <w:sz w:val="17"/>
              </w:rPr>
              <w:t>TechSupport = No</w:t>
            </w:r>
          </w:p>
        </w:tc>
        <w:tc>
          <w:tcPr>
            <w:tcMar>
              <w:top w:w="60"/>
              <w:bottom w:w="60"/>
              <w:left w:w="100"/>
              <w:right w:w="100"/>
            </w:tcMar>
          </w:tcPr>
          <w:p>
            <w:r>
              <w:rPr>
                <w:sz w:val="17"/>
              </w:rPr>
              <w:t>MEDIUM</w:t>
            </w:r>
          </w:p>
        </w:tc>
        <w:tc>
          <w:tcPr>
            <w:tcMar>
              <w:top w:w="60"/>
              <w:bottom w:w="60"/>
              <w:left w:w="100"/>
              <w:right w:w="100"/>
            </w:tcMar>
          </w:tcPr>
          <w:p>
            <w:r>
              <w:rPr>
                <w:sz w:val="17"/>
              </w:rPr>
              <w:t>0.297</w:t>
            </w:r>
          </w:p>
        </w:tc>
        <w:tc>
          <w:tcPr>
            <w:tcMar>
              <w:top w:w="60"/>
              <w:bottom w:w="60"/>
              <w:left w:w="100"/>
              <w:right w:w="100"/>
            </w:tcMar>
          </w:tcPr>
          <w:p>
            <w:r>
              <w:rPr>
                <w:sz w:val="17"/>
              </w:rPr>
              <w:t>Sales Desk</w:t>
            </w:r>
          </w:p>
        </w:tc>
        <w:tc>
          <w:tcPr>
            <w:tcMar>
              <w:top w:w="60"/>
              <w:bottom w:w="60"/>
              <w:left w:w="100"/>
              <w:right w:w="100"/>
            </w:tcMar>
          </w:tcPr>
          <w:p>
            <w:r>
              <w:rPr>
                <w:sz w:val="17"/>
              </w:rPr>
              <w:t>Offer complimentary 3-month TechSupport trial</w:t>
            </w:r>
          </w:p>
        </w:tc>
        <w:tc>
          <w:tcPr>
            <w:tcMar>
              <w:top w:w="60"/>
              <w:bottom w:w="60"/>
              <w:left w:w="100"/>
              <w:right w:w="100"/>
            </w:tcMar>
          </w:tcPr>
          <w:p>
            <w:r>
              <w:rPr>
                <w:sz w:val="17"/>
              </w:rPr>
              <w:t>Ongoing</w:t>
            </w:r>
          </w:p>
        </w:tc>
      </w:tr>
      <w:tr>
        <w:tc>
          <w:tcPr>
            <w:tcMar>
              <w:top w:w="60"/>
              <w:bottom w:w="60"/>
              <w:left w:w="100"/>
              <w:right w:w="100"/>
            </w:tcMar>
          </w:tcPr>
          <w:p>
            <w:r>
              <w:rPr>
                <w:sz w:val="17"/>
              </w:rPr>
              <w:t>8</w:t>
            </w:r>
          </w:p>
        </w:tc>
        <w:tc>
          <w:tcPr>
            <w:tcMar>
              <w:top w:w="60"/>
              <w:bottom w:w="60"/>
              <w:left w:w="100"/>
              <w:right w:w="100"/>
            </w:tcMar>
          </w:tcPr>
          <w:p>
            <w:r>
              <w:rPr>
                <w:sz w:val="17"/>
              </w:rPr>
              <w:t>Digital Security</w:t>
            </w:r>
          </w:p>
        </w:tc>
        <w:tc>
          <w:tcPr>
            <w:tcMar>
              <w:top w:w="60"/>
              <w:bottom w:w="60"/>
              <w:left w:w="100"/>
              <w:right w:w="100"/>
            </w:tcMar>
          </w:tcPr>
          <w:p>
            <w:r>
              <w:rPr>
                <w:sz w:val="17"/>
              </w:rPr>
              <w:t>OnlineSecurity = No</w:t>
            </w:r>
          </w:p>
        </w:tc>
        <w:tc>
          <w:tcPr>
            <w:tcMar>
              <w:top w:w="60"/>
              <w:bottom w:w="60"/>
              <w:left w:w="100"/>
              <w:right w:w="100"/>
            </w:tcMar>
          </w:tcPr>
          <w:p>
            <w:r>
              <w:rPr>
                <w:sz w:val="17"/>
              </w:rPr>
              <w:t>MEDIUM</w:t>
            </w:r>
          </w:p>
        </w:tc>
        <w:tc>
          <w:tcPr>
            <w:tcMar>
              <w:top w:w="60"/>
              <w:bottom w:w="60"/>
              <w:left w:w="100"/>
              <w:right w:w="100"/>
            </w:tcMar>
          </w:tcPr>
          <w:p>
            <w:r>
              <w:rPr>
                <w:sz w:val="17"/>
              </w:rPr>
              <w:t>0.297</w:t>
            </w:r>
          </w:p>
        </w:tc>
        <w:tc>
          <w:tcPr>
            <w:tcMar>
              <w:top w:w="60"/>
              <w:bottom w:w="60"/>
              <w:left w:w="100"/>
              <w:right w:w="100"/>
            </w:tcMar>
          </w:tcPr>
          <w:p>
            <w:r>
              <w:rPr>
                <w:sz w:val="17"/>
              </w:rPr>
              <w:t>Product Desk</w:t>
            </w:r>
          </w:p>
        </w:tc>
        <w:tc>
          <w:tcPr>
            <w:tcMar>
              <w:top w:w="60"/>
              <w:bottom w:w="60"/>
              <w:left w:w="100"/>
              <w:right w:w="100"/>
            </w:tcMar>
          </w:tcPr>
          <w:p>
            <w:r>
              <w:rPr>
                <w:sz w:val="17"/>
              </w:rPr>
              <w:t>Activate complementary cybersecurity trial</w:t>
            </w:r>
          </w:p>
        </w:tc>
        <w:tc>
          <w:tcPr>
            <w:tcMar>
              <w:top w:w="60"/>
              <w:bottom w:w="60"/>
              <w:left w:w="100"/>
              <w:right w:w="100"/>
            </w:tcMar>
          </w:tcPr>
          <w:p>
            <w:r>
              <w:rPr>
                <w:sz w:val="17"/>
              </w:rPr>
              <w:t>Ongoing</w:t>
            </w:r>
          </w:p>
        </w:tc>
      </w:tr>
      <w:tr>
        <w:tc>
          <w:tcPr>
            <w:tcMar>
              <w:top w:w="60"/>
              <w:bottom w:w="60"/>
              <w:left w:w="100"/>
              <w:right w:w="100"/>
            </w:tcMar>
          </w:tcPr>
          <w:p>
            <w:r>
              <w:rPr>
                <w:sz w:val="17"/>
              </w:rPr>
              <w:t>9</w:t>
            </w:r>
          </w:p>
        </w:tc>
        <w:tc>
          <w:tcPr>
            <w:tcMar>
              <w:top w:w="60"/>
              <w:bottom w:w="60"/>
              <w:left w:w="100"/>
              <w:right w:w="100"/>
            </w:tcMar>
          </w:tcPr>
          <w:p>
            <w:r>
              <w:rPr>
                <w:sz w:val="17"/>
              </w:rPr>
              <w:t>Entertainment Bundle</w:t>
            </w:r>
          </w:p>
        </w:tc>
        <w:tc>
          <w:tcPr>
            <w:tcMar>
              <w:top w:w="60"/>
              <w:bottom w:w="60"/>
              <w:left w:w="100"/>
              <w:right w:w="100"/>
            </w:tcMar>
          </w:tcPr>
          <w:p>
            <w:r>
              <w:rPr>
                <w:sz w:val="17"/>
              </w:rPr>
              <w:t>StreamingTV = Yes, unbundled</w:t>
            </w:r>
          </w:p>
        </w:tc>
        <w:tc>
          <w:tcPr>
            <w:tcMar>
              <w:top w:w="60"/>
              <w:bottom w:w="60"/>
              <w:left w:w="100"/>
              <w:right w:w="100"/>
            </w:tcMar>
          </w:tcPr>
          <w:p>
            <w:r>
              <w:rPr>
                <w:sz w:val="17"/>
              </w:rPr>
              <w:t>LOW</w:t>
            </w:r>
          </w:p>
        </w:tc>
        <w:tc>
          <w:tcPr>
            <w:tcMar>
              <w:top w:w="60"/>
              <w:bottom w:w="60"/>
              <w:left w:w="100"/>
              <w:right w:w="100"/>
            </w:tcMar>
          </w:tcPr>
          <w:p>
            <w:r>
              <w:rPr>
                <w:sz w:val="17"/>
              </w:rPr>
              <w:t>0.231</w:t>
            </w:r>
          </w:p>
        </w:tc>
        <w:tc>
          <w:tcPr>
            <w:tcMar>
              <w:top w:w="60"/>
              <w:bottom w:w="60"/>
              <w:left w:w="100"/>
              <w:right w:w="100"/>
            </w:tcMar>
          </w:tcPr>
          <w:p>
            <w:r>
              <w:rPr>
                <w:sz w:val="17"/>
              </w:rPr>
              <w:t>Marketing</w:t>
            </w:r>
          </w:p>
        </w:tc>
        <w:tc>
          <w:tcPr>
            <w:tcMar>
              <w:top w:w="60"/>
              <w:bottom w:w="60"/>
              <w:left w:w="100"/>
              <w:right w:w="100"/>
            </w:tcMar>
          </w:tcPr>
          <w:p>
            <w:r>
              <w:rPr>
                <w:sz w:val="17"/>
              </w:rPr>
              <w:t>Bundle streaming add-ons into unified loyalty tier</w:t>
            </w:r>
          </w:p>
        </w:tc>
        <w:tc>
          <w:tcPr>
            <w:tcMar>
              <w:top w:w="60"/>
              <w:bottom w:w="60"/>
              <w:left w:w="100"/>
              <w:right w:w="100"/>
            </w:tcMar>
          </w:tcPr>
          <w:p>
            <w:r>
              <w:rPr>
                <w:sz w:val="17"/>
              </w:rPr>
              <w:t>Long-Term (30d)</w:t>
            </w:r>
          </w:p>
        </w:tc>
      </w:tr>
      <w:tr>
        <w:tc>
          <w:tcPr>
            <w:tcMar>
              <w:top w:w="60"/>
              <w:bottom w:w="60"/>
              <w:left w:w="100"/>
              <w:right w:w="100"/>
            </w:tcMar>
          </w:tcPr>
          <w:p>
            <w:r>
              <w:rPr>
                <w:sz w:val="17"/>
              </w:rPr>
              <w:t>10</w:t>
            </w:r>
          </w:p>
        </w:tc>
        <w:tc>
          <w:tcPr>
            <w:tcMar>
              <w:top w:w="60"/>
              <w:bottom w:w="60"/>
              <w:left w:w="100"/>
              <w:right w:w="100"/>
            </w:tcMar>
          </w:tcPr>
          <w:p>
            <w:r>
              <w:rPr>
                <w:sz w:val="17"/>
              </w:rPr>
              <w:t>Loyal Customer</w:t>
            </w:r>
          </w:p>
        </w:tc>
        <w:tc>
          <w:tcPr>
            <w:tcMar>
              <w:top w:w="60"/>
              <w:bottom w:w="60"/>
              <w:left w:w="100"/>
              <w:right w:w="100"/>
            </w:tcMar>
          </w:tcPr>
          <w:p>
            <w:r>
              <w:rPr>
                <w:sz w:val="17"/>
              </w:rPr>
              <w:t>P &lt; tau, tenure &gt;= 48 months</w:t>
            </w:r>
          </w:p>
        </w:tc>
        <w:tc>
          <w:tcPr>
            <w:tcMar>
              <w:top w:w="60"/>
              <w:bottom w:w="60"/>
              <w:left w:w="100"/>
              <w:right w:w="100"/>
            </w:tcMar>
          </w:tcPr>
          <w:p>
            <w:r>
              <w:rPr>
                <w:sz w:val="17"/>
              </w:rPr>
              <w:t>LOW</w:t>
            </w:r>
          </w:p>
        </w:tc>
        <w:tc>
          <w:tcPr>
            <w:tcMar>
              <w:top w:w="60"/>
              <w:bottom w:w="60"/>
              <w:left w:w="100"/>
              <w:right w:w="100"/>
            </w:tcMar>
          </w:tcPr>
          <w:p>
            <w:r>
              <w:rPr>
                <w:sz w:val="17"/>
              </w:rPr>
              <w:t>0.120</w:t>
            </w:r>
          </w:p>
        </w:tc>
        <w:tc>
          <w:tcPr>
            <w:tcMar>
              <w:top w:w="60"/>
              <w:bottom w:w="60"/>
              <w:left w:w="100"/>
              <w:right w:w="100"/>
            </w:tcMar>
          </w:tcPr>
          <w:p>
            <w:r>
              <w:rPr>
                <w:sz w:val="17"/>
              </w:rPr>
              <w:t>Brand Care</w:t>
            </w:r>
          </w:p>
        </w:tc>
        <w:tc>
          <w:tcPr>
            <w:tcMar>
              <w:top w:w="60"/>
              <w:bottom w:w="60"/>
              <w:left w:w="100"/>
              <w:right w:w="100"/>
            </w:tcMar>
          </w:tcPr>
          <w:p>
            <w:r>
              <w:rPr>
                <w:sz w:val="17"/>
              </w:rPr>
              <w:t>Send anniversary thank-you note and loyalty perk</w:t>
            </w:r>
          </w:p>
        </w:tc>
        <w:tc>
          <w:tcPr>
            <w:tcMar>
              <w:top w:w="60"/>
              <w:bottom w:w="60"/>
              <w:left w:w="100"/>
              <w:right w:w="100"/>
            </w:tcMar>
          </w:tcPr>
          <w:p>
            <w:r>
              <w:rPr>
                <w:sz w:val="17"/>
              </w:rPr>
              <w:t>Ongoing</w:t>
            </w:r>
          </w:p>
        </w:tc>
      </w:tr>
    </w:tbl>
    <w:p>
      <w:pPr>
        <w:spacing w:after="160"/>
      </w:pPr>
    </w:p>
    <w:p>
      <w:pPr>
        <w:pStyle w:val="Heading2"/>
        <w:spacing w:before="160" w:after="60"/>
      </w:pPr>
      <w:r>
        <w:rPr>
          <w:b/>
          <w:i/>
          <w:sz w:val="20"/>
        </w:rPr>
        <w:t>C. Demographic Fairness and Survival Analysis</w:t>
      </w:r>
    </w:p>
    <w:p>
      <w:pPr>
        <w:jc w:val="both"/>
        <w:ind w:firstLine="280"/>
      </w:pPr>
      <w:r>
        <w:rPr>
          <w:sz w:val="20"/>
          <w:szCs w:val="20"/>
        </w:rPr>
        <w:t xml:space="preserve">The fairness audit confirms demographic parity across gender (disparate impact ratio = 1.0023). However, senior citizens exhibit disparate impact (selection ratio = 0.4794, 20% higher recall, 25.7% higher FPR) due to underlying contract correlations. The Cox survival model achieves a concordance index of C=0.8539.</w:t>
      </w:r>
    </w:p>
    <w:p>
      <w:pPr>
        <w:jc w:val="center"/>
        <w:spacing w:before="160" w:after="60"/>
      </w:pPr>
      <w:r>
        <w:rPr>
          <w:b/>
          <w:caps/>
          <w:sz w:val="18"/>
        </w:rPr>
        <w:t>TABLE IX: DEMOGRAPHIC SUBGROUP FAIRNESS AUDIT</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Subgroup</w:t>
            </w:r>
          </w:p>
        </w:tc>
        <w:tc>
          <w:tcPr>
            <w:shd w:val="clear" w:color="auto" w:fill="F2F4F7"/>
            <w:tcMar>
              <w:top w:w="80"/>
              <w:bottom w:w="80"/>
              <w:left w:w="120"/>
              <w:right w:w="120"/>
            </w:tcMar>
          </w:tcPr>
          <w:p>
            <w:pPr>
              <w:jc w:val="center"/>
            </w:pPr>
            <w:r>
              <w:rPr>
                <w:b/>
                <w:sz w:val="17"/>
              </w:rPr>
              <w:t>Sample Size</w:t>
            </w:r>
          </w:p>
        </w:tc>
        <w:tc>
          <w:tcPr>
            <w:shd w:val="clear" w:color="auto" w:fill="F2F4F7"/>
            <w:tcMar>
              <w:top w:w="80"/>
              <w:bottom w:w="80"/>
              <w:left w:w="120"/>
              <w:right w:w="120"/>
            </w:tcMar>
          </w:tcPr>
          <w:p>
            <w:pPr>
              <w:jc w:val="center"/>
            </w:pPr>
            <w:r>
              <w:rPr>
                <w:b/>
                <w:sz w:val="17"/>
              </w:rPr>
              <w:t>Accuracy</w:t>
            </w:r>
          </w:p>
        </w:tc>
        <w:tc>
          <w:tcPr>
            <w:shd w:val="clear" w:color="auto" w:fill="F2F4F7"/>
            <w:tcMar>
              <w:top w:w="80"/>
              <w:bottom w:w="80"/>
              <w:left w:w="120"/>
              <w:right w:w="120"/>
            </w:tcMar>
          </w:tcPr>
          <w:p>
            <w:pPr>
              <w:jc w:val="center"/>
            </w:pPr>
            <w:r>
              <w:rPr>
                <w:b/>
                <w:sz w:val="17"/>
              </w:rPr>
              <w:t>Recall</w:t>
            </w:r>
          </w:p>
        </w:tc>
        <w:tc>
          <w:tcPr>
            <w:shd w:val="clear" w:color="auto" w:fill="F2F4F7"/>
            <w:tcMar>
              <w:top w:w="80"/>
              <w:bottom w:w="80"/>
              <w:left w:w="120"/>
              <w:right w:w="120"/>
            </w:tcMar>
          </w:tcPr>
          <w:p>
            <w:pPr>
              <w:jc w:val="center"/>
            </w:pPr>
            <w:r>
              <w:rPr>
                <w:b/>
                <w:sz w:val="17"/>
              </w:rPr>
              <w:t>FPR</w:t>
            </w:r>
          </w:p>
        </w:tc>
        <w:tc>
          <w:tcPr>
            <w:shd w:val="clear" w:color="auto" w:fill="F2F4F7"/>
            <w:tcMar>
              <w:top w:w="80"/>
              <w:bottom w:w="80"/>
              <w:left w:w="120"/>
              <w:right w:w="120"/>
            </w:tcMar>
          </w:tcPr>
          <w:p>
            <w:pPr>
              <w:jc w:val="center"/>
            </w:pPr>
            <w:r>
              <w:rPr>
                <w:b/>
                <w:sz w:val="17"/>
              </w:rPr>
              <w:t>PPR (Selection)</w:t>
            </w:r>
          </w:p>
        </w:tc>
      </w:tr>
      <w:tr>
        <w:tc>
          <w:tcPr>
            <w:tcMar>
              <w:top w:w="60"/>
              <w:bottom w:w="60"/>
              <w:left w:w="100"/>
              <w:right w:w="100"/>
            </w:tcMar>
          </w:tcPr>
          <w:p>
            <w:r>
              <w:rPr>
                <w:sz w:val="17"/>
              </w:rPr>
              <w:t>Gender: Female</w:t>
            </w:r>
          </w:p>
        </w:tc>
        <w:tc>
          <w:tcPr>
            <w:tcMar>
              <w:top w:w="60"/>
              <w:bottom w:w="60"/>
              <w:left w:w="100"/>
              <w:right w:w="100"/>
            </w:tcMar>
          </w:tcPr>
          <w:p>
            <w:r>
              <w:rPr>
                <w:sz w:val="17"/>
              </w:rPr>
              <w:t>687</w:t>
            </w:r>
          </w:p>
        </w:tc>
        <w:tc>
          <w:tcPr>
            <w:tcMar>
              <w:top w:w="60"/>
              <w:bottom w:w="60"/>
              <w:left w:w="100"/>
              <w:right w:w="100"/>
            </w:tcMar>
          </w:tcPr>
          <w:p>
            <w:r>
              <w:rPr>
                <w:sz w:val="17"/>
              </w:rPr>
              <w:t>0.7642</w:t>
            </w:r>
          </w:p>
        </w:tc>
        <w:tc>
          <w:tcPr>
            <w:tcMar>
              <w:top w:w="60"/>
              <w:bottom w:w="60"/>
              <w:left w:w="100"/>
              <w:right w:w="100"/>
            </w:tcMar>
          </w:tcPr>
          <w:p>
            <w:r>
              <w:rPr>
                <w:sz w:val="17"/>
              </w:rPr>
              <w:t>0.7202</w:t>
            </w:r>
          </w:p>
        </w:tc>
        <w:tc>
          <w:tcPr>
            <w:tcMar>
              <w:top w:w="60"/>
              <w:bottom w:w="60"/>
              <w:left w:w="100"/>
              <w:right w:w="100"/>
            </w:tcMar>
          </w:tcPr>
          <w:p>
            <w:r>
              <w:rPr>
                <w:sz w:val="17"/>
              </w:rPr>
              <w:t>0.2186</w:t>
            </w:r>
          </w:p>
        </w:tc>
        <w:tc>
          <w:tcPr>
            <w:tcMar>
              <w:top w:w="60"/>
              <w:bottom w:w="60"/>
              <w:left w:w="100"/>
              <w:right w:w="100"/>
            </w:tcMar>
          </w:tcPr>
          <w:p>
            <w:r>
              <w:rPr>
                <w:sz w:val="17"/>
              </w:rPr>
              <w:t>0.3595</w:t>
            </w:r>
          </w:p>
        </w:tc>
      </w:tr>
      <w:tr>
        <w:tc>
          <w:tcPr>
            <w:tcMar>
              <w:top w:w="60"/>
              <w:bottom w:w="60"/>
              <w:left w:w="100"/>
              <w:right w:w="100"/>
            </w:tcMar>
          </w:tcPr>
          <w:p>
            <w:r>
              <w:rPr>
                <w:sz w:val="17"/>
              </w:rPr>
              <w:t>Gender: Male</w:t>
            </w:r>
          </w:p>
        </w:tc>
        <w:tc>
          <w:tcPr>
            <w:tcMar>
              <w:top w:w="60"/>
              <w:bottom w:w="60"/>
              <w:left w:w="100"/>
              <w:right w:w="100"/>
            </w:tcMar>
          </w:tcPr>
          <w:p>
            <w:r>
              <w:rPr>
                <w:sz w:val="17"/>
              </w:rPr>
              <w:t>722</w:t>
            </w:r>
          </w:p>
        </w:tc>
        <w:tc>
          <w:tcPr>
            <w:tcMar>
              <w:top w:w="60"/>
              <w:bottom w:w="60"/>
              <w:left w:w="100"/>
              <w:right w:w="100"/>
            </w:tcMar>
          </w:tcPr>
          <w:p>
            <w:r>
              <w:rPr>
                <w:sz w:val="17"/>
              </w:rPr>
              <w:t>0.7618</w:t>
            </w:r>
          </w:p>
        </w:tc>
        <w:tc>
          <w:tcPr>
            <w:tcMar>
              <w:top w:w="60"/>
              <w:bottom w:w="60"/>
              <w:left w:w="100"/>
              <w:right w:w="100"/>
            </w:tcMar>
          </w:tcPr>
          <w:p>
            <w:r>
              <w:rPr>
                <w:sz w:val="17"/>
              </w:rPr>
              <w:t>0.7403</w:t>
            </w:r>
          </w:p>
        </w:tc>
        <w:tc>
          <w:tcPr>
            <w:tcMar>
              <w:top w:w="60"/>
              <w:bottom w:w="60"/>
              <w:left w:w="100"/>
              <w:right w:w="100"/>
            </w:tcMar>
          </w:tcPr>
          <w:p>
            <w:r>
              <w:rPr>
                <w:sz w:val="17"/>
              </w:rPr>
              <w:t>0.2311</w:t>
            </w:r>
          </w:p>
        </w:tc>
        <w:tc>
          <w:tcPr>
            <w:tcMar>
              <w:top w:w="60"/>
              <w:bottom w:w="60"/>
              <w:left w:w="100"/>
              <w:right w:w="100"/>
            </w:tcMar>
          </w:tcPr>
          <w:p>
            <w:r>
              <w:rPr>
                <w:sz w:val="17"/>
              </w:rPr>
              <w:t>0.3587</w:t>
            </w:r>
          </w:p>
        </w:tc>
      </w:tr>
      <w:tr>
        <w:tc>
          <w:tcPr>
            <w:tcMar>
              <w:top w:w="60"/>
              <w:bottom w:w="60"/>
              <w:left w:w="100"/>
              <w:right w:w="100"/>
            </w:tcMar>
          </w:tcPr>
          <w:p>
            <w:r>
              <w:rPr>
                <w:sz w:val="17"/>
              </w:rPr>
              <w:t>Ratio (Female / Male)</w:t>
            </w:r>
          </w:p>
        </w:tc>
        <w:tc>
          <w:tcPr>
            <w:tcMar>
              <w:top w:w="60"/>
              <w:bottom w:w="60"/>
              <w:left w:w="100"/>
              <w:right w:w="100"/>
            </w:tcMar>
          </w:tcPr>
          <w:p>
            <w:r>
              <w:rPr>
                <w:sz w:val="17"/>
              </w:rPr>
              <w:t>---</w:t>
            </w:r>
          </w:p>
        </w:tc>
        <w:tc>
          <w:tcPr>
            <w:tcMar>
              <w:top w:w="60"/>
              <w:bottom w:w="60"/>
              <w:left w:w="100"/>
              <w:right w:w="100"/>
            </w:tcMar>
          </w:tcPr>
          <w:p>
            <w:r>
              <w:rPr>
                <w:sz w:val="17"/>
              </w:rPr>
              <w:t>1.003</w:t>
            </w:r>
          </w:p>
        </w:tc>
        <w:tc>
          <w:tcPr>
            <w:tcMar>
              <w:top w:w="60"/>
              <w:bottom w:w="60"/>
              <w:left w:w="100"/>
              <w:right w:w="100"/>
            </w:tcMar>
          </w:tcPr>
          <w:p>
            <w:r>
              <w:rPr>
                <w:sz w:val="17"/>
              </w:rPr>
              <w:t>0.973</w:t>
            </w:r>
          </w:p>
        </w:tc>
        <w:tc>
          <w:tcPr>
            <w:tcMar>
              <w:top w:w="60"/>
              <w:bottom w:w="60"/>
              <w:left w:w="100"/>
              <w:right w:w="100"/>
            </w:tcMar>
          </w:tcPr>
          <w:p>
            <w:r>
              <w:rPr>
                <w:sz w:val="17"/>
              </w:rPr>
              <w:t>0.946</w:t>
            </w:r>
          </w:p>
        </w:tc>
        <w:tc>
          <w:tcPr>
            <w:tcMar>
              <w:top w:w="60"/>
              <w:bottom w:w="60"/>
              <w:left w:w="100"/>
              <w:right w:w="100"/>
            </w:tcMar>
          </w:tcPr>
          <w:p>
            <w:r>
              <w:rPr>
                <w:sz w:val="17"/>
              </w:rPr>
              <w:t>1.002 (Fair)</w:t>
            </w:r>
          </w:p>
        </w:tc>
      </w:tr>
      <w:tr>
        <w:tc>
          <w:tcPr>
            <w:tcMar>
              <w:top w:w="60"/>
              <w:bottom w:w="60"/>
              <w:left w:w="100"/>
              <w:right w:w="100"/>
            </w:tcMar>
          </w:tcPr>
          <w:p>
            <w:r>
              <w:rPr>
                <w:sz w:val="17"/>
              </w:rPr>
              <w:t>Senior: Non-Senior</w:t>
            </w:r>
          </w:p>
        </w:tc>
        <w:tc>
          <w:tcPr>
            <w:tcMar>
              <w:top w:w="60"/>
              <w:bottom w:w="60"/>
              <w:left w:w="100"/>
              <w:right w:w="100"/>
            </w:tcMar>
          </w:tcPr>
          <w:p>
            <w:r>
              <w:rPr>
                <w:sz w:val="17"/>
              </w:rPr>
              <w:t>1,187</w:t>
            </w:r>
          </w:p>
        </w:tc>
        <w:tc>
          <w:tcPr>
            <w:tcMar>
              <w:top w:w="60"/>
              <w:bottom w:w="60"/>
              <w:left w:w="100"/>
              <w:right w:w="100"/>
            </w:tcMar>
          </w:tcPr>
          <w:p>
            <w:r>
              <w:rPr>
                <w:sz w:val="17"/>
              </w:rPr>
              <w:t>0.7759</w:t>
            </w:r>
          </w:p>
        </w:tc>
        <w:tc>
          <w:tcPr>
            <w:tcMar>
              <w:top w:w="60"/>
              <w:bottom w:w="60"/>
              <w:left w:w="100"/>
              <w:right w:w="100"/>
            </w:tcMar>
          </w:tcPr>
          <w:p>
            <w:r>
              <w:rPr>
                <w:sz w:val="17"/>
              </w:rPr>
              <w:t>0.6775</w:t>
            </w:r>
          </w:p>
        </w:tc>
        <w:tc>
          <w:tcPr>
            <w:tcMar>
              <w:top w:w="60"/>
              <w:bottom w:w="60"/>
              <w:left w:w="100"/>
              <w:right w:w="100"/>
            </w:tcMar>
          </w:tcPr>
          <w:p>
            <w:r>
              <w:rPr>
                <w:sz w:val="17"/>
              </w:rPr>
              <w:t>0.1943</w:t>
            </w:r>
          </w:p>
        </w:tc>
        <w:tc>
          <w:tcPr>
            <w:tcMar>
              <w:top w:w="60"/>
              <w:bottom w:w="60"/>
              <w:left w:w="100"/>
              <w:right w:w="100"/>
            </w:tcMar>
          </w:tcPr>
          <w:p>
            <w:r>
              <w:rPr>
                <w:sz w:val="17"/>
              </w:rPr>
              <w:t>0.3067</w:t>
            </w:r>
          </w:p>
        </w:tc>
      </w:tr>
      <w:tr>
        <w:tc>
          <w:tcPr>
            <w:tcMar>
              <w:top w:w="60"/>
              <w:bottom w:w="60"/>
              <w:left w:w="100"/>
              <w:right w:w="100"/>
            </w:tcMar>
          </w:tcPr>
          <w:p>
            <w:r>
              <w:rPr>
                <w:sz w:val="17"/>
              </w:rPr>
              <w:t>Senior: Senior Citizen</w:t>
            </w:r>
          </w:p>
        </w:tc>
        <w:tc>
          <w:tcPr>
            <w:tcMar>
              <w:top w:w="60"/>
              <w:bottom w:w="60"/>
              <w:left w:w="100"/>
              <w:right w:w="100"/>
            </w:tcMar>
          </w:tcPr>
          <w:p>
            <w:r>
              <w:rPr>
                <w:sz w:val="17"/>
              </w:rPr>
              <w:t>222</w:t>
            </w:r>
          </w:p>
        </w:tc>
        <w:tc>
          <w:tcPr>
            <w:tcMar>
              <w:top w:w="60"/>
              <w:bottom w:w="60"/>
              <w:left w:w="100"/>
              <w:right w:w="100"/>
            </w:tcMar>
          </w:tcPr>
          <w:p>
            <w:r>
              <w:rPr>
                <w:sz w:val="17"/>
              </w:rPr>
              <w:t>0.6937</w:t>
            </w:r>
          </w:p>
        </w:tc>
        <w:tc>
          <w:tcPr>
            <w:tcMar>
              <w:top w:w="60"/>
              <w:bottom w:w="60"/>
              <w:left w:w="100"/>
              <w:right w:w="100"/>
            </w:tcMar>
          </w:tcPr>
          <w:p>
            <w:r>
              <w:rPr>
                <w:sz w:val="17"/>
              </w:rPr>
              <w:t>0.8776</w:t>
            </w:r>
          </w:p>
        </w:tc>
        <w:tc>
          <w:tcPr>
            <w:tcMar>
              <w:top w:w="60"/>
              <w:bottom w:w="60"/>
              <w:left w:w="100"/>
              <w:right w:w="100"/>
            </w:tcMar>
          </w:tcPr>
          <w:p>
            <w:r>
              <w:rPr>
                <w:sz w:val="17"/>
              </w:rPr>
              <w:t>0.4516</w:t>
            </w:r>
          </w:p>
        </w:tc>
        <w:tc>
          <w:tcPr>
            <w:tcMar>
              <w:top w:w="60"/>
              <w:bottom w:w="60"/>
              <w:left w:w="100"/>
              <w:right w:w="100"/>
            </w:tcMar>
          </w:tcPr>
          <w:p>
            <w:r>
              <w:rPr>
                <w:sz w:val="17"/>
              </w:rPr>
              <w:t>0.6396</w:t>
            </w:r>
          </w:p>
        </w:tc>
      </w:tr>
      <w:tr>
        <w:tc>
          <w:tcPr>
            <w:tcMar>
              <w:top w:w="60"/>
              <w:bottom w:w="60"/>
              <w:left w:w="100"/>
              <w:right w:w="100"/>
            </w:tcMar>
          </w:tcPr>
          <w:p>
            <w:r>
              <w:rPr>
                <w:sz w:val="17"/>
              </w:rPr>
              <w:t>Ratio (Senior / Non-Senior)</w:t>
            </w:r>
          </w:p>
        </w:tc>
        <w:tc>
          <w:tcPr>
            <w:tcMar>
              <w:top w:w="60"/>
              <w:bottom w:w="60"/>
              <w:left w:w="100"/>
              <w:right w:w="100"/>
            </w:tcMar>
          </w:tcPr>
          <w:p>
            <w:r>
              <w:rPr>
                <w:sz w:val="17"/>
              </w:rPr>
              <w:t>---</w:t>
            </w:r>
          </w:p>
        </w:tc>
        <w:tc>
          <w:tcPr>
            <w:tcMar>
              <w:top w:w="60"/>
              <w:bottom w:w="60"/>
              <w:left w:w="100"/>
              <w:right w:w="100"/>
            </w:tcMar>
          </w:tcPr>
          <w:p>
            <w:r>
              <w:rPr>
                <w:sz w:val="17"/>
              </w:rPr>
              <w:t>0.894</w:t>
            </w:r>
          </w:p>
        </w:tc>
        <w:tc>
          <w:tcPr>
            <w:tcMar>
              <w:top w:w="60"/>
              <w:bottom w:w="60"/>
              <w:left w:w="100"/>
              <w:right w:w="100"/>
            </w:tcMar>
          </w:tcPr>
          <w:p>
            <w:r>
              <w:rPr>
                <w:sz w:val="17"/>
              </w:rPr>
              <w:t>1.295</w:t>
            </w:r>
          </w:p>
        </w:tc>
        <w:tc>
          <w:tcPr>
            <w:tcMar>
              <w:top w:w="60"/>
              <w:bottom w:w="60"/>
              <w:left w:w="100"/>
              <w:right w:w="100"/>
            </w:tcMar>
          </w:tcPr>
          <w:p>
            <w:r>
              <w:rPr>
                <w:sz w:val="17"/>
              </w:rPr>
              <w:t>2.324</w:t>
            </w:r>
          </w:p>
        </w:tc>
        <w:tc>
          <w:tcPr>
            <w:tcMar>
              <w:top w:w="60"/>
              <w:bottom w:w="60"/>
              <w:left w:w="100"/>
              <w:right w:w="100"/>
            </w:tcMar>
          </w:tcPr>
          <w:p>
            <w:r>
              <w:rPr>
                <w:sz w:val="17"/>
              </w:rPr>
              <w:t>0.479 (Disparate)</w:t>
            </w:r>
          </w:p>
        </w:tc>
      </w:tr>
    </w:tbl>
    <w:p>
      <w:pPr>
        <w:spacing w:after="160"/>
      </w:pPr>
    </w:p>
    <w:p>
      <w:pPr>
        <w:jc w:val="center"/>
        <w:spacing w:before="160" w:after="60"/>
      </w:pPr>
      <w:r>
        <w:rPr>
          <w:b/>
          <w:caps/>
          <w:sz w:val="18"/>
        </w:rPr>
        <w:t>TABLE X: COX PROPORTIONAL HAZARDS MODEL RESULTS (C-INDEX = 0.8539)</w:t>
      </w:r>
    </w:p>
    <w:tbl>
      <w:tblPr>
        <w:tblW w:w="0" w:type="auto"/>
        <w:jc w:val="center"/>
        <w:tblBorders>
          <w:top w:val="single" w:sz="8" w:space="0" w:color="000000"/>
          <w:bottom w:val="single" w:sz="8" w:space="0" w:color="000000"/>
          <w:insideH w:val="single" w:sz="4" w:space="0" w:color="E0E0E0"/>
        </w:tblBorders>
      </w:tblPr>
      <w:tr>
        <w:tc>
          <w:tcPr>
            <w:shd w:val="clear" w:color="auto" w:fill="F2F4F7"/>
            <w:tcMar>
              <w:top w:w="80"/>
              <w:bottom w:w="80"/>
              <w:left w:w="120"/>
              <w:right w:w="120"/>
            </w:tcMar>
          </w:tcPr>
          <w:p>
            <w:pPr>
              <w:jc w:val="center"/>
            </w:pPr>
            <w:r>
              <w:rPr>
                <w:b/>
                <w:sz w:val="17"/>
              </w:rPr>
              <w:t>Covariate Feature</w:t>
            </w:r>
          </w:p>
        </w:tc>
        <w:tc>
          <w:tcPr>
            <w:shd w:val="clear" w:color="auto" w:fill="F2F4F7"/>
            <w:tcMar>
              <w:top w:w="80"/>
              <w:bottom w:w="80"/>
              <w:left w:w="120"/>
              <w:right w:w="120"/>
            </w:tcMar>
          </w:tcPr>
          <w:p>
            <w:pPr>
              <w:jc w:val="center"/>
            </w:pPr>
            <w:r>
              <w:rPr>
                <w:b/>
                <w:sz w:val="17"/>
              </w:rPr>
              <w:t>Hazard Ratio (HR)</w:t>
            </w:r>
          </w:p>
        </w:tc>
        <w:tc>
          <w:tcPr>
            <w:shd w:val="clear" w:color="auto" w:fill="F2F4F7"/>
            <w:tcMar>
              <w:top w:w="80"/>
              <w:bottom w:w="80"/>
              <w:left w:w="120"/>
              <w:right w:w="120"/>
            </w:tcMar>
          </w:tcPr>
          <w:p>
            <w:pPr>
              <w:jc w:val="center"/>
            </w:pPr>
            <w:r>
              <w:rPr>
                <w:b/>
                <w:sz w:val="17"/>
              </w:rPr>
              <w:t>95% CI</w:t>
            </w:r>
          </w:p>
        </w:tc>
        <w:tc>
          <w:tcPr>
            <w:shd w:val="clear" w:color="auto" w:fill="F2F4F7"/>
            <w:tcMar>
              <w:top w:w="80"/>
              <w:bottom w:w="80"/>
              <w:left w:w="120"/>
              <w:right w:w="120"/>
            </w:tcMar>
          </w:tcPr>
          <w:p>
            <w:pPr>
              <w:jc w:val="center"/>
            </w:pPr>
            <w:r>
              <w:rPr>
                <w:b/>
                <w:sz w:val="17"/>
              </w:rPr>
              <w:t>Effect on Churn</w:t>
            </w:r>
          </w:p>
        </w:tc>
      </w:tr>
      <w:tr>
        <w:tc>
          <w:tcPr>
            <w:tcMar>
              <w:top w:w="60"/>
              <w:bottom w:w="60"/>
              <w:left w:w="100"/>
              <w:right w:w="100"/>
            </w:tcMar>
          </w:tcPr>
          <w:p>
            <w:r>
              <w:rPr>
                <w:sz w:val="17"/>
              </w:rPr>
              <w:t>InternetService: Fiber optic</w:t>
            </w:r>
          </w:p>
        </w:tc>
        <w:tc>
          <w:tcPr>
            <w:tcMar>
              <w:top w:w="60"/>
              <w:bottom w:w="60"/>
              <w:left w:w="100"/>
              <w:right w:w="100"/>
            </w:tcMar>
          </w:tcPr>
          <w:p>
            <w:r>
              <w:rPr>
                <w:sz w:val="17"/>
              </w:rPr>
              <w:t>2.92</w:t>
            </w:r>
          </w:p>
        </w:tc>
        <w:tc>
          <w:tcPr>
            <w:tcMar>
              <w:top w:w="60"/>
              <w:bottom w:w="60"/>
              <w:left w:w="100"/>
              <w:right w:w="100"/>
            </w:tcMar>
          </w:tcPr>
          <w:p>
            <w:r>
              <w:rPr>
                <w:sz w:val="17"/>
              </w:rPr>
              <w:t>[2.45, 3.48]</w:t>
            </w:r>
          </w:p>
        </w:tc>
        <w:tc>
          <w:tcPr>
            <w:tcMar>
              <w:top w:w="60"/>
              <w:bottom w:w="60"/>
              <w:left w:w="100"/>
              <w:right w:w="100"/>
            </w:tcMar>
          </w:tcPr>
          <w:p>
            <w:r>
              <w:rPr>
                <w:sz w:val="17"/>
              </w:rPr>
              <w:t>+192% Churn Hazard</w:t>
            </w:r>
          </w:p>
        </w:tc>
      </w:tr>
      <w:tr>
        <w:tc>
          <w:tcPr>
            <w:tcMar>
              <w:top w:w="60"/>
              <w:bottom w:w="60"/>
              <w:left w:w="100"/>
              <w:right w:w="100"/>
            </w:tcMar>
          </w:tcPr>
          <w:p>
            <w:r>
              <w:rPr>
                <w:sz w:val="17"/>
              </w:rPr>
              <w:t>PhoneService: Yes</w:t>
            </w:r>
          </w:p>
        </w:tc>
        <w:tc>
          <w:tcPr>
            <w:tcMar>
              <w:top w:w="60"/>
              <w:bottom w:w="60"/>
              <w:left w:w="100"/>
              <w:right w:w="100"/>
            </w:tcMar>
          </w:tcPr>
          <w:p>
            <w:r>
              <w:rPr>
                <w:sz w:val="17"/>
              </w:rPr>
              <w:t>1.86</w:t>
            </w:r>
          </w:p>
        </w:tc>
        <w:tc>
          <w:tcPr>
            <w:tcMar>
              <w:top w:w="60"/>
              <w:bottom w:w="60"/>
              <w:left w:w="100"/>
              <w:right w:w="100"/>
            </w:tcMar>
          </w:tcPr>
          <w:p>
            <w:r>
              <w:rPr>
                <w:sz w:val="17"/>
              </w:rPr>
              <w:t>[1.38, 2.51]</w:t>
            </w:r>
          </w:p>
        </w:tc>
        <w:tc>
          <w:tcPr>
            <w:tcMar>
              <w:top w:w="60"/>
              <w:bottom w:w="60"/>
              <w:left w:w="100"/>
              <w:right w:w="100"/>
            </w:tcMar>
          </w:tcPr>
          <w:p>
            <w:r>
              <w:rPr>
                <w:sz w:val="17"/>
              </w:rPr>
              <w:t>+86% Churn Hazard</w:t>
            </w:r>
          </w:p>
        </w:tc>
      </w:tr>
      <w:tr>
        <w:tc>
          <w:tcPr>
            <w:tcMar>
              <w:top w:w="60"/>
              <w:bottom w:w="60"/>
              <w:left w:w="100"/>
              <w:right w:w="100"/>
            </w:tcMar>
          </w:tcPr>
          <w:p>
            <w:r>
              <w:rPr>
                <w:sz w:val="17"/>
              </w:rPr>
              <w:t>PaymentMethod: E-check</w:t>
            </w:r>
          </w:p>
        </w:tc>
        <w:tc>
          <w:tcPr>
            <w:tcMar>
              <w:top w:w="60"/>
              <w:bottom w:w="60"/>
              <w:left w:w="100"/>
              <w:right w:w="100"/>
            </w:tcMar>
          </w:tcPr>
          <w:p>
            <w:r>
              <w:rPr>
                <w:sz w:val="17"/>
              </w:rPr>
              <w:t>1.73</w:t>
            </w:r>
          </w:p>
        </w:tc>
        <w:tc>
          <w:tcPr>
            <w:tcMar>
              <w:top w:w="60"/>
              <w:bottom w:w="60"/>
              <w:left w:w="100"/>
              <w:right w:w="100"/>
            </w:tcMar>
          </w:tcPr>
          <w:p>
            <w:r>
              <w:rPr>
                <w:sz w:val="17"/>
              </w:rPr>
              <w:t>[1.51, 1.98]</w:t>
            </w:r>
          </w:p>
        </w:tc>
        <w:tc>
          <w:tcPr>
            <w:tcMar>
              <w:top w:w="60"/>
              <w:bottom w:w="60"/>
              <w:left w:w="100"/>
              <w:right w:w="100"/>
            </w:tcMar>
          </w:tcPr>
          <w:p>
            <w:r>
              <w:rPr>
                <w:sz w:val="17"/>
              </w:rPr>
              <w:t>+73% Churn Hazard</w:t>
            </w:r>
          </w:p>
        </w:tc>
      </w:tr>
      <w:tr>
        <w:tc>
          <w:tcPr>
            <w:tcMar>
              <w:top w:w="60"/>
              <w:bottom w:w="60"/>
              <w:left w:w="100"/>
              <w:right w:w="100"/>
            </w:tcMar>
          </w:tcPr>
          <w:p>
            <w:r>
              <w:rPr>
                <w:sz w:val="17"/>
              </w:rPr>
              <w:t>PaperlessBilling: Yes</w:t>
            </w:r>
          </w:p>
        </w:tc>
        <w:tc>
          <w:tcPr>
            <w:tcMar>
              <w:top w:w="60"/>
              <w:bottom w:w="60"/>
              <w:left w:w="100"/>
              <w:right w:w="100"/>
            </w:tcMar>
          </w:tcPr>
          <w:p>
            <w:r>
              <w:rPr>
                <w:sz w:val="17"/>
              </w:rPr>
              <w:t>1.17</w:t>
            </w:r>
          </w:p>
        </w:tc>
        <w:tc>
          <w:tcPr>
            <w:tcMar>
              <w:top w:w="60"/>
              <w:bottom w:w="60"/>
              <w:left w:w="100"/>
              <w:right w:w="100"/>
            </w:tcMar>
          </w:tcPr>
          <w:p>
            <w:r>
              <w:rPr>
                <w:sz w:val="17"/>
              </w:rPr>
              <w:t>[1.02, 1.34]</w:t>
            </w:r>
          </w:p>
        </w:tc>
        <w:tc>
          <w:tcPr>
            <w:tcMar>
              <w:top w:w="60"/>
              <w:bottom w:w="60"/>
              <w:left w:w="100"/>
              <w:right w:w="100"/>
            </w:tcMar>
          </w:tcPr>
          <w:p>
            <w:r>
              <w:rPr>
                <w:sz w:val="17"/>
              </w:rPr>
              <w:t>+17% Churn Hazard</w:t>
            </w:r>
          </w:p>
        </w:tc>
      </w:tr>
      <w:tr>
        <w:tc>
          <w:tcPr>
            <w:tcMar>
              <w:top w:w="60"/>
              <w:bottom w:w="60"/>
              <w:left w:w="100"/>
              <w:right w:w="100"/>
            </w:tcMar>
          </w:tcPr>
          <w:p>
            <w:r>
              <w:rPr>
                <w:sz w:val="17"/>
              </w:rPr>
              <w:t>Contract: Two year</w:t>
            </w:r>
          </w:p>
        </w:tc>
        <w:tc>
          <w:tcPr>
            <w:tcMar>
              <w:top w:w="60"/>
              <w:bottom w:w="60"/>
              <w:left w:w="100"/>
              <w:right w:w="100"/>
            </w:tcMar>
          </w:tcPr>
          <w:p>
            <w:r>
              <w:rPr>
                <w:sz w:val="17"/>
              </w:rPr>
              <w:t>0.036</w:t>
            </w:r>
          </w:p>
        </w:tc>
        <w:tc>
          <w:tcPr>
            <w:tcMar>
              <w:top w:w="60"/>
              <w:bottom w:w="60"/>
              <w:left w:w="100"/>
              <w:right w:w="100"/>
            </w:tcMar>
          </w:tcPr>
          <w:p>
            <w:r>
              <w:rPr>
                <w:sz w:val="17"/>
              </w:rPr>
              <w:t>[0.02, 0.06]</w:t>
            </w:r>
          </w:p>
        </w:tc>
        <w:tc>
          <w:tcPr>
            <w:tcMar>
              <w:top w:w="60"/>
              <w:bottom w:w="60"/>
              <w:left w:w="100"/>
              <w:right w:w="100"/>
            </w:tcMar>
          </w:tcPr>
          <w:p>
            <w:r>
              <w:rPr>
                <w:sz w:val="17"/>
              </w:rPr>
              <w:t>-96.4% Churn Hazard</w:t>
            </w:r>
          </w:p>
        </w:tc>
      </w:tr>
      <w:tr>
        <w:tc>
          <w:tcPr>
            <w:tcMar>
              <w:top w:w="60"/>
              <w:bottom w:w="60"/>
              <w:left w:w="100"/>
              <w:right w:w="100"/>
            </w:tcMar>
          </w:tcPr>
          <w:p>
            <w:r>
              <w:rPr>
                <w:sz w:val="17"/>
              </w:rPr>
              <w:t>Contract: One year</w:t>
            </w:r>
          </w:p>
        </w:tc>
        <w:tc>
          <w:tcPr>
            <w:tcMar>
              <w:top w:w="60"/>
              <w:bottom w:w="60"/>
              <w:left w:w="100"/>
              <w:right w:w="100"/>
            </w:tcMar>
          </w:tcPr>
          <w:p>
            <w:r>
              <w:rPr>
                <w:sz w:val="17"/>
              </w:rPr>
              <w:t>0.185</w:t>
            </w:r>
          </w:p>
        </w:tc>
        <w:tc>
          <w:tcPr>
            <w:tcMar>
              <w:top w:w="60"/>
              <w:bottom w:w="60"/>
              <w:left w:w="100"/>
              <w:right w:w="100"/>
            </w:tcMar>
          </w:tcPr>
          <w:p>
            <w:r>
              <w:rPr>
                <w:sz w:val="17"/>
              </w:rPr>
              <w:t>[0.14, 0.24]</w:t>
            </w:r>
          </w:p>
        </w:tc>
        <w:tc>
          <w:tcPr>
            <w:tcMar>
              <w:top w:w="60"/>
              <w:bottom w:w="60"/>
              <w:left w:w="100"/>
              <w:right w:w="100"/>
            </w:tcMar>
          </w:tcPr>
          <w:p>
            <w:r>
              <w:rPr>
                <w:sz w:val="17"/>
              </w:rPr>
              <w:t>-81.5% Churn Hazard</w:t>
            </w:r>
          </w:p>
        </w:tc>
      </w:tr>
      <w:tr>
        <w:tc>
          <w:tcPr>
            <w:tcMar>
              <w:top w:w="60"/>
              <w:bottom w:w="60"/>
              <w:left w:w="100"/>
              <w:right w:w="100"/>
            </w:tcMar>
          </w:tcPr>
          <w:p>
            <w:r>
              <w:rPr>
                <w:sz w:val="17"/>
              </w:rPr>
              <w:t>InternetService: No</w:t>
            </w:r>
          </w:p>
        </w:tc>
        <w:tc>
          <w:tcPr>
            <w:tcMar>
              <w:top w:w="60"/>
              <w:bottom w:w="60"/>
              <w:left w:w="100"/>
              <w:right w:w="100"/>
            </w:tcMar>
          </w:tcPr>
          <w:p>
            <w:r>
              <w:rPr>
                <w:sz w:val="17"/>
              </w:rPr>
              <w:t>0.193</w:t>
            </w:r>
          </w:p>
        </w:tc>
        <w:tc>
          <w:tcPr>
            <w:tcMar>
              <w:top w:w="60"/>
              <w:bottom w:w="60"/>
              <w:left w:w="100"/>
              <w:right w:w="100"/>
            </w:tcMar>
          </w:tcPr>
          <w:p>
            <w:r>
              <w:rPr>
                <w:sz w:val="17"/>
              </w:rPr>
              <w:t>[0.14, 0.27]</w:t>
            </w:r>
          </w:p>
        </w:tc>
        <w:tc>
          <w:tcPr>
            <w:tcMar>
              <w:top w:w="60"/>
              <w:bottom w:w="60"/>
              <w:left w:w="100"/>
              <w:right w:w="100"/>
            </w:tcMar>
          </w:tcPr>
          <w:p>
            <w:r>
              <w:rPr>
                <w:sz w:val="17"/>
              </w:rPr>
              <w:t>-80.7% Churn Hazard</w:t>
            </w:r>
          </w:p>
        </w:tc>
      </w:tr>
      <w:tr>
        <w:tc>
          <w:tcPr>
            <w:tcMar>
              <w:top w:w="60"/>
              <w:bottom w:w="60"/>
              <w:left w:w="100"/>
              <w:right w:w="100"/>
            </w:tcMar>
          </w:tcPr>
          <w:p>
            <w:r>
              <w:rPr>
                <w:sz w:val="17"/>
              </w:rPr>
              <w:t>Partner: Yes</w:t>
            </w:r>
          </w:p>
        </w:tc>
        <w:tc>
          <w:tcPr>
            <w:tcMar>
              <w:top w:w="60"/>
              <w:bottom w:w="60"/>
              <w:left w:w="100"/>
              <w:right w:w="100"/>
            </w:tcMar>
          </w:tcPr>
          <w:p>
            <w:r>
              <w:rPr>
                <w:sz w:val="17"/>
              </w:rPr>
              <w:t>0.577</w:t>
            </w:r>
          </w:p>
        </w:tc>
        <w:tc>
          <w:tcPr>
            <w:tcMar>
              <w:top w:w="60"/>
              <w:bottom w:w="60"/>
              <w:left w:w="100"/>
              <w:right w:w="100"/>
            </w:tcMar>
          </w:tcPr>
          <w:p>
            <w:r>
              <w:rPr>
                <w:sz w:val="17"/>
              </w:rPr>
              <w:t>[0.50, 0.67]</w:t>
            </w:r>
          </w:p>
        </w:tc>
        <w:tc>
          <w:tcPr>
            <w:tcMar>
              <w:top w:w="60"/>
              <w:bottom w:w="60"/>
              <w:left w:w="100"/>
              <w:right w:w="100"/>
            </w:tcMar>
          </w:tcPr>
          <w:p>
            <w:r>
              <w:rPr>
                <w:sz w:val="17"/>
              </w:rPr>
              <w:t>-42.3% Churn Hazard</w:t>
            </w:r>
          </w:p>
        </w:tc>
      </w:tr>
      <w:tr>
        <w:tc>
          <w:tcPr>
            <w:tcMar>
              <w:top w:w="60"/>
              <w:bottom w:w="60"/>
              <w:left w:w="100"/>
              <w:right w:w="100"/>
            </w:tcMar>
          </w:tcPr>
          <w:p>
            <w:r>
              <w:rPr>
                <w:sz w:val="17"/>
              </w:rPr>
              <w:t>OnlineSecurity: Yes</w:t>
            </w:r>
          </w:p>
        </w:tc>
        <w:tc>
          <w:tcPr>
            <w:tcMar>
              <w:top w:w="60"/>
              <w:bottom w:w="60"/>
              <w:left w:w="100"/>
              <w:right w:w="100"/>
            </w:tcMar>
          </w:tcPr>
          <w:p>
            <w:r>
              <w:rPr>
                <w:sz w:val="17"/>
              </w:rPr>
              <w:t>0.585</w:t>
            </w:r>
          </w:p>
        </w:tc>
        <w:tc>
          <w:tcPr>
            <w:tcMar>
              <w:top w:w="60"/>
              <w:bottom w:w="60"/>
              <w:left w:w="100"/>
              <w:right w:w="100"/>
            </w:tcMar>
          </w:tcPr>
          <w:p>
            <w:r>
              <w:rPr>
                <w:sz w:val="17"/>
              </w:rPr>
              <w:t>[0.49, 0.70]</w:t>
            </w:r>
          </w:p>
        </w:tc>
        <w:tc>
          <w:tcPr>
            <w:tcMar>
              <w:top w:w="60"/>
              <w:bottom w:w="60"/>
              <w:left w:w="100"/>
              <w:right w:w="100"/>
            </w:tcMar>
          </w:tcPr>
          <w:p>
            <w:r>
              <w:rPr>
                <w:sz w:val="17"/>
              </w:rPr>
              <w:t>-41.5% Churn Hazard</w:t>
            </w:r>
          </w:p>
        </w:tc>
      </w:tr>
    </w:tbl>
    <w:p>
      <w:pPr>
        <w:spacing w:after="160"/>
      </w:pPr>
    </w:p>
    <w:p>
      <w:pPr>
        <w:pStyle w:val="Heading1"/>
        <w:jc w:val="center"/>
        <w:spacing w:before="240" w:after="100"/>
      </w:pPr>
      <w:r>
        <w:rPr>
          <w:b/>
          <w:caps/>
          <w:sz w:val="22"/>
        </w:rPr>
        <w:t>VII. SYSTEM IMPLEMENTATION</w:t>
      </w:r>
    </w:p>
    <w:p>
      <w:pPr>
        <w:jc w:val="both"/>
        <w:ind w:firstLine="280"/>
      </w:pPr>
      <w:r>
        <w:rPr>
          <w:sz w:val="20"/>
          <w:szCs w:val="20"/>
        </w:rPr>
        <w:t xml:space="preserve">The software solution integrates a FastAPI backend, React single-page frontend, SQLite persistence layer, What-If simulator, and batch inference engine.</w:t>
      </w:r>
    </w:p>
    <w:p>
      <w:pPr>
        <w:pStyle w:val="Heading1"/>
        <w:jc w:val="center"/>
        <w:spacing w:before="240" w:after="100"/>
      </w:pPr>
      <w:r>
        <w:rPr>
          <w:b/>
          <w:caps/>
          <w:sz w:val="22"/>
        </w:rPr>
        <w:t>VIII. LIMITATIONS AND FUTURE WORK</w:t>
      </w:r>
    </w:p>
    <w:p>
      <w:pPr>
        <w:jc w:val="both"/>
        <w:ind w:firstLine="280"/>
      </w:pPr>
      <w:r>
        <w:rPr>
          <w:sz w:val="20"/>
          <w:szCs w:val="20"/>
        </w:rPr>
        <w:t xml:space="preserve">Limitations include static benchmark characteristics, non-causal interpretability of observational SHAP attributions, and demographic disparities for senior citizens. Future work includes causal uplift modeling to estimate Individual Treatment Effects (ITE), dynamic Customer Lifetime Value (CLV) optimization, and sequential temporal deep learning on Call Detail Records.</w:t>
      </w:r>
    </w:p>
    <w:p>
      <w:pPr>
        <w:pStyle w:val="Heading1"/>
        <w:jc w:val="center"/>
        <w:spacing w:before="240" w:after="100"/>
      </w:pPr>
      <w:r>
        <w:rPr>
          <w:b/>
          <w:caps/>
          <w:sz w:val="22"/>
        </w:rPr>
        <w:t>IX. CONCLUSION</w:t>
      </w:r>
    </w:p>
    <w:p>
      <w:pPr>
        <w:jc w:val="both"/>
        <w:ind w:firstLine="280"/>
      </w:pPr>
      <w:r>
        <w:rPr>
          <w:sz w:val="20"/>
          <w:szCs w:val="20"/>
        </w:rPr>
        <w:t xml:space="preserve">This paper presented an explainable ensemble learning and decision-support framework for telecom customer churn. The stacking ensemble achieved 79.68% recall (0.7622 accuracy, 0.8460 ROC-AUC), improving to 90.11% recall at threshold tau=0.29 and 95.45% under cost-optimal thresholding. By combining SHAP and LIME explainability with a state-aware recommendation catalog, the system bridges the gap between predictive modeling and operational customer retention.</w:t>
      </w:r>
    </w:p>
    <w:p>
      <w:pPr>
        <w:pStyle w:val="Heading1"/>
        <w:jc w:val="center"/>
        <w:spacing w:before="240" w:after="100"/>
      </w:pPr>
      <w:r>
        <w:rPr>
          <w:b/>
          <w:caps/>
          <w:sz w:val="22"/>
        </w:rPr>
        <w:t>PROJECT VALUES THAT MUST BE VERIFIED</w:t>
      </w:r>
    </w:p>
    <w:p>
      <w:pPr>
        <w:jc w:val="both"/>
        <w:ind w:firstLine="280"/>
      </w:pPr>
      <w:r>
        <w:rPr>
          <w:b/>
          <w:sz w:val="20"/>
          <w:szCs w:val="20"/>
        </w:rPr>
        <w:t xml:space="preserve">[VERIFIED TEST SET SIZE]: N = 1,409 instances (1,035 retain, 374 churn), exactly 20% stratified test split of 7,043 instances.</w:t>
      </w:r>
    </w:p>
    <w:p>
      <w:pPr>
        <w:jc w:val="both"/>
        <w:ind w:firstLine="280"/>
      </w:pPr>
      <w:r>
        <w:rPr>
          <w:b/>
          <w:sz w:val="20"/>
          <w:szCs w:val="20"/>
        </w:rPr>
        <w:t xml:space="preserve">[VERIFIED ENSEMBLE TEST RECALL]: 0.7968 (at default tau=0.50), 0.9011 (at recall-optimized tau=0.29), and 0.9545 (at cost-optimal tau=0.0951).</w:t>
      </w:r>
    </w:p>
    <w:p>
      <w:pPr>
        <w:jc w:val="both"/>
        <w:ind w:firstLine="280"/>
      </w:pPr>
      <w:r>
        <w:rPr>
          <w:b/>
          <w:sz w:val="20"/>
          <w:szCs w:val="20"/>
        </w:rPr>
        <w:t xml:space="preserve">[VERIFIED ENSEMBLE TEST ACCURACY]: 0.7622 (at tau=0.50), 0.6749 (at tau=0.29).</w:t>
      </w:r>
    </w:p>
    <w:p>
      <w:pPr>
        <w:jc w:val="both"/>
        <w:ind w:firstLine="280"/>
      </w:pPr>
      <w:r>
        <w:rPr>
          <w:b/>
          <w:sz w:val="20"/>
          <w:szCs w:val="20"/>
        </w:rPr>
        <w:t xml:space="preserve">[VERIFIED ROC-AUC AND PR-AUC]: ROC-AUC = 0.8460, PR-AUC = 0.6522, Brier Score = 0.1660.</w:t>
      </w:r>
    </w:p>
    <w:p>
      <w:pPr>
        <w:jc w:val="both"/>
        <w:ind w:firstLine="280"/>
      </w:pPr>
      <w:r>
        <w:rPr>
          <w:b/>
          <w:sz w:val="20"/>
          <w:szCs w:val="20"/>
        </w:rPr>
        <w:t xml:space="preserve">[VERIFIED HARDWARE SPECIFICATION]: Workstation host CPU: Intel64 Family 6 Model 126 Stepping 5 (GenuineIntel), 32 GB RAM, Microsoft Windows 11 Enterprise (Build 26200).</w:t>
      </w:r>
    </w:p>
    <w:p>
      <w:pPr>
        <w:jc w:val="both"/>
        <w:ind w:firstLine="280"/>
      </w:pPr>
      <w:r>
        <w:rPr>
          <w:b/>
          <w:sz w:val="20"/>
          <w:szCs w:val="20"/>
        </w:rPr>
        <w:t xml:space="preserve">[VERIFIED SURVIVAL CONCORDANCE]: Cox Proportional Hazards Model C-index = 0.8539 (after duration leakage remediation).</w:t>
      </w:r>
    </w:p>
    <w:p>
      <w:pPr>
        <w:pStyle w:val="Heading1"/>
        <w:jc w:val="center"/>
        <w:spacing w:before="240" w:after="100"/>
      </w:pPr>
      <w:r>
        <w:rPr>
          <w:b/>
          <w:caps/>
          <w:sz w:val="22"/>
        </w:rPr>
        <w:t>REFERENCES</w:t>
      </w:r>
    </w:p>
    <w:p>
      <w:pPr>
        <w:jc w:val="both"/>
        <w:ind w:firstLine="-360"/>
      </w:pPr>
      <w:r>
        <w:rPr>
          <w:sz w:val="18"/>
          <w:szCs w:val="18"/>
        </w:rPr>
        <w:t xml:space="preserve">[1] W. Verbeke, D. Martens, C. Mues, and B. Baesens, 'New insights into churn prediction in the telecommunication sector: A profit driven data mining approach,' European Journal of Operational Research, vol. 218, no. 1, pp. 211–229, 2012.</w:t>
      </w:r>
    </w:p>
    <w:p>
      <w:pPr>
        <w:jc w:val="both"/>
        <w:ind w:firstLine="-360"/>
      </w:pPr>
      <w:r>
        <w:rPr>
          <w:sz w:val="18"/>
          <w:szCs w:val="18"/>
        </w:rPr>
        <w:t xml:space="preserve">[2] A. Amin, F. Al-Obeidat, B. Shah, A. Adnan, J. Loo, and K. Anwar, 'Customer churn prediction in telecommunication industry using data certainty,' Journal of Business Research, vol. 94, pp. 290–301, 2019.</w:t>
      </w:r>
    </w:p>
    <w:p>
      <w:pPr>
        <w:jc w:val="both"/>
        <w:ind w:firstLine="-360"/>
      </w:pPr>
      <w:r>
        <w:rPr>
          <w:sz w:val="18"/>
          <w:szCs w:val="18"/>
        </w:rPr>
        <w:t xml:space="preserve">[3] S. L. Ullo, A. R. Verma, and G. R. Sinha, 'A comprehensive review on customer churn prediction in telecom industry using machine learning,' IEEE Access, vol. 9, pp. 104212–104229, 2021.</w:t>
      </w:r>
    </w:p>
    <w:p>
      <w:pPr>
        <w:jc w:val="both"/>
        <w:ind w:firstLine="-360"/>
      </w:pPr>
      <w:r>
        <w:rPr>
          <w:sz w:val="18"/>
          <w:szCs w:val="18"/>
        </w:rPr>
        <w:t xml:space="preserve">[4] K. Coussement, K. W. De Bock, and D. F. Benoit, 'Benchmarking data mining algorithms for customer churn prediction: A marketing-oriented perspective,' European Journal of Operational Research, vol. 257, no. 1, pp. 216–235, 2017.</w:t>
      </w:r>
    </w:p>
    <w:p>
      <w:pPr>
        <w:jc w:val="both"/>
        <w:ind w:firstLine="-360"/>
      </w:pPr>
      <w:r>
        <w:rPr>
          <w:sz w:val="18"/>
          <w:szCs w:val="18"/>
        </w:rPr>
        <w:t xml:space="preserve">[5] R. Guidotti, A. Monreale, S. Ruggieri, F. Turini, F. Giannotti, and D. Pedreschi, 'A survey of methods for explaining black box models,' ACM Computing Surveys, vol. 51, no. 5, pp. 1–42, 2018.</w:t>
      </w:r>
    </w:p>
    <w:p>
      <w:pPr>
        <w:jc w:val="both"/>
        <w:ind w:firstLine="-360"/>
      </w:pPr>
      <w:r>
        <w:rPr>
          <w:sz w:val="18"/>
          <w:szCs w:val="18"/>
        </w:rPr>
        <w:t xml:space="preserve">[6] L. Breiman, 'Random forests,' Machine Learning, vol. 45, no. 1, pp. 5–32, 2001.</w:t>
      </w:r>
    </w:p>
    <w:p>
      <w:pPr>
        <w:jc w:val="both"/>
        <w:ind w:firstLine="-360"/>
      </w:pPr>
      <w:r>
        <w:rPr>
          <w:sz w:val="18"/>
          <w:szCs w:val="18"/>
        </w:rPr>
        <w:t xml:space="preserve">[7] T. Chen and C. Guestrin, 'XGBoost: A scalable tree boosting system,' in Proc. 22nd ACM SIGKDD Int. Conf. Knowl. Discovery Data Mining (KDD), 2016, pp. 785–794.</w:t>
      </w:r>
    </w:p>
    <w:p>
      <w:pPr>
        <w:jc w:val="both"/>
        <w:ind w:firstLine="-360"/>
      </w:pPr>
      <w:r>
        <w:rPr>
          <w:sz w:val="18"/>
          <w:szCs w:val="18"/>
        </w:rPr>
        <w:t xml:space="preserve">[8] G. Ke, Q. Meng, T. Finley, T. Wang, W. Chen, W. Ma, Q. Ye, and T.-Y. Liu, 'LightGBM: A highly efficient gradient boosting decision tree,' in Adv. Neural Inf. Process. Syst. (NeurIPS), vol. 30, 2017, pp. 3146–3154.</w:t>
      </w:r>
    </w:p>
    <w:p>
      <w:pPr>
        <w:jc w:val="both"/>
        <w:ind w:firstLine="-360"/>
      </w:pPr>
      <w:r>
        <w:rPr>
          <w:sz w:val="18"/>
          <w:szCs w:val="18"/>
        </w:rPr>
        <w:t xml:space="preserve">[9] D. H. Wolpert, 'Stacked generalization,' Neural Networks, vol. 5, no. 2, pp. 241–259, 1992.</w:t>
      </w:r>
    </w:p>
    <w:p>
      <w:pPr>
        <w:jc w:val="both"/>
        <w:ind w:firstLine="-360"/>
      </w:pPr>
      <w:r>
        <w:rPr>
          <w:sz w:val="18"/>
          <w:szCs w:val="18"/>
        </w:rPr>
        <w:t xml:space="preserve">[10] I. Ullah, B. Raza, A. K. Malik, M. Imran, S. U. Islam, and S. W. Kim, 'A churn prediction model using random forest: Analysis of machine learning techniques for churn prediction and factor identification in telecom,' IEEE Access, vol. 7, pp. 60134–60149, 2019.</w:t>
      </w:r>
    </w:p>
    <w:p>
      <w:pPr>
        <w:jc w:val="both"/>
        <w:ind w:firstLine="-360"/>
      </w:pPr>
      <w:r>
        <w:rPr>
          <w:sz w:val="18"/>
          <w:szCs w:val="18"/>
        </w:rPr>
        <w:t xml:space="preserve">[11] S. Maan and P. Maan, 'Customer churn prediction in telecommunication industry using machine learning,' in Proc. IEEE Int. Conf. Comput. Commun. Control Autom. (ICC3A), 2023.</w:t>
      </w:r>
    </w:p>
    <w:p>
      <w:pPr>
        <w:jc w:val="both"/>
        <w:ind w:firstLine="-360"/>
      </w:pPr>
      <w:r>
        <w:rPr>
          <w:sz w:val="18"/>
          <w:szCs w:val="18"/>
        </w:rPr>
        <w:t xml:space="preserve">[12] A. Idris, M. Rizwan, and A. Khan, 'Churn prediction in telecom using random forest and extreme learning machine,' Computers &amp; Electrical Engineering, vol. 38, no. 6, pp. 1807–1812, 2014.</w:t>
      </w:r>
    </w:p>
    <w:p>
      <w:pPr>
        <w:jc w:val="both"/>
        <w:ind w:firstLine="-360"/>
      </w:pPr>
      <w:r>
        <w:rPr>
          <w:sz w:val="18"/>
          <w:szCs w:val="18"/>
        </w:rPr>
        <w:t xml:space="preserve">[13] N. V. Chawla, K. W. Bowyer, L. O. Hall, and W. P. Kegelmeyer, 'SMOTE: Synthetic minority over-sampling technique,' Journal of Artificial Intelligence Research, vol. 16, pp. 321–357, 2002.</w:t>
      </w:r>
    </w:p>
    <w:p>
      <w:pPr>
        <w:jc w:val="both"/>
        <w:ind w:firstLine="-360"/>
      </w:pPr>
      <w:r>
        <w:rPr>
          <w:sz w:val="18"/>
          <w:szCs w:val="18"/>
        </w:rPr>
        <w:t xml:space="preserve">[14] H. Han, W.-Y. Wang, and B.-H. Mao, 'Borderline-SMOTE: A new over-sampling method in imbalanced data sets learning,' in Int. Conf. Intell. Comput. (ICIC), Springer, 2005, pp. 878–887.</w:t>
      </w:r>
    </w:p>
    <w:p>
      <w:pPr>
        <w:jc w:val="both"/>
        <w:ind w:firstLine="-360"/>
      </w:pPr>
      <w:r>
        <w:rPr>
          <w:sz w:val="18"/>
          <w:szCs w:val="18"/>
        </w:rPr>
        <w:t xml:space="preserve">[15] G. E. Batista, R. C. Prati, and M. C. Monard, 'A study of the behavior of several methods for balancing machine learning training data,' ACM SIGKDD Explorations Newsletter, vol. 6, no. 1, pp. 20–29, 2004.</w:t>
      </w:r>
    </w:p>
    <w:p>
      <w:pPr>
        <w:jc w:val="both"/>
        <w:ind w:firstLine="-360"/>
      </w:pPr>
      <w:r>
        <w:rPr>
          <w:sz w:val="18"/>
          <w:szCs w:val="18"/>
        </w:rPr>
        <w:t xml:space="preserve">[16] M. S. Santos, P. H. Abreu, P. J. García-Laencina, A. Simão, and A. Carvalho, 'A new cluster-based oversampling method for improving survival prediction of hepatocellular carcinoma patients,' Journal of Biomedical Informatics, vol. 58, pp. 49–59, 2018.</w:t>
      </w:r>
    </w:p>
    <w:p>
      <w:pPr>
        <w:jc w:val="both"/>
        <w:ind w:firstLine="-360"/>
      </w:pPr>
      <w:r>
        <w:rPr>
          <w:sz w:val="18"/>
          <w:szCs w:val="18"/>
        </w:rPr>
        <w:t xml:space="preserve">[17] S. M. Lundberg and S.-I. Lee, 'A unified approach to interpreting model predictions,' in Adv. Neural Inf. Process. Syst. (NeurIPS), vol. 30, 2017, pp. 4765–4774.</w:t>
      </w:r>
    </w:p>
    <w:p>
      <w:pPr>
        <w:jc w:val="both"/>
        <w:ind w:firstLine="-360"/>
      </w:pPr>
      <w:r>
        <w:rPr>
          <w:sz w:val="18"/>
          <w:szCs w:val="18"/>
        </w:rPr>
        <w:t xml:space="preserve">[18] S. M. Lundberg, G. Erion, H. Chen, A. DeGrave, J. M. Prutkin, B. Nair, R. Katz, M. Himmelfarb, N. Bansal, and S.-I. Lee, 'From local explanations to global understanding with explainable AI for trees,' Nature Machine Intelligence, vol. 2, no. 1, pp. 56–67, 2020.</w:t>
      </w:r>
    </w:p>
    <w:p>
      <w:pPr>
        <w:jc w:val="both"/>
        <w:ind w:firstLine="-360"/>
      </w:pPr>
      <w:r>
        <w:rPr>
          <w:sz w:val="18"/>
          <w:szCs w:val="18"/>
        </w:rPr>
        <w:t xml:space="preserve">[19] M. T. Ribeiro, S. Singh, and C. Guestrin, 'Why should I trust you?: Explaining the predictions of any classifier,' in Proc. 22nd ACM SIGKDD Int. Conf. Knowl. Discovery Data Mining (KDD), 2016, pp. 1135–1144.</w:t>
      </w:r>
    </w:p>
    <w:p>
      <w:pPr>
        <w:jc w:val="both"/>
        <w:ind w:firstLine="-360"/>
      </w:pPr>
      <w:r>
        <w:rPr>
          <w:sz w:val="18"/>
          <w:szCs w:val="18"/>
        </w:rPr>
        <w:t xml:space="preserve">[20] P. B. Albuquerque, R. C. L. Oliveira, and H. S. Lopes, 'Machine learning and explainable artificial intelligence for customer churn prediction in telecommunications,' Computers &amp; Industrial Engineering, vol. 169, p. 108241, 2022.</w:t>
      </w:r>
    </w:p>
    <w:p>
      <w:pPr>
        <w:jc w:val="both"/>
        <w:ind w:firstLine="-360"/>
      </w:pPr>
      <w:r>
        <w:rPr>
          <w:sz w:val="18"/>
          <w:szCs w:val="18"/>
        </w:rPr>
        <w:t xml:space="preserve">[21] D. De Caigny, K. Coussement, K. W. De Bock, and S. Lessmann, 'Incorporating textual information into customer churn prediction models: An empirical benchmark of text representation techniques,' European Journal of Operational Research, vol. 288, no. 2, pp. 632–645, 2021.</w:t>
      </w:r>
    </w:p>
    <w:p>
      <w:pPr>
        <w:jc w:val="both"/>
        <w:ind w:firstLine="-360"/>
      </w:pPr>
      <w:r>
        <w:rPr>
          <w:sz w:val="18"/>
          <w:szCs w:val="18"/>
        </w:rPr>
        <w:t xml:space="preserve">[22] IBM Watson Analytics, 'Telco Customer Churn Dataset,' IBM Corporation, Armonk, NY, USA, 2018.</w:t>
      </w:r>
    </w:p>
    <w:p>
      <w:pPr>
        <w:jc w:val="both"/>
        <w:ind w:firstLine="-360"/>
      </w:pPr>
      <w:r>
        <w:rPr>
          <w:sz w:val="18"/>
          <w:szCs w:val="18"/>
        </w:rPr>
        <w:t xml:space="preserve">[23] D. R. Cox, 'Regression models and life-tables,' Journal of the Royal Statistical Society: Series B (Methodological), vol. 34, no. 2, pp. 187–202, 1972.</w:t>
      </w:r>
    </w:p>
    <w:p>
      <w:pPr>
        <w:jc w:val="both"/>
        <w:ind w:firstLine="-360"/>
      </w:pPr>
      <w:r>
        <w:rPr>
          <w:sz w:val="18"/>
          <w:szCs w:val="18"/>
        </w:rPr>
        <w:t xml:space="preserve">[24] T. Fawcett, 'An introduction to ROC analysis,' Pattern Recognition Letters, vol. 27, no. 8, pp. 861–874, 2006.</w:t>
      </w:r>
    </w:p>
    <w:p>
      <w:pPr>
        <w:jc w:val="both"/>
        <w:ind w:firstLine="-360"/>
      </w:pPr>
      <w:r>
        <w:rPr>
          <w:sz w:val="18"/>
          <w:szCs w:val="18"/>
        </w:rPr>
        <w:t xml:space="preserve">[25] J. Platt, 'Probabilistic outputs for support vector machines and comparisons to regularized likelihood methods,' Advances in Large Margin Classifiers, vol. 10, no. 3, pp. 61–74, 1999.</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szCs w:val="20"/>
        <w:lang w:val="en-US"/>
      </w:rPr>
    </w:rPrDefault>
    <w:pPrDefault>
      <w:pPr>
        <w:spacing w:line="240" w:lineRule="auto" w:after="120"/>
      </w:pPr>
    </w:pPrDefault>
  </w:docDefaults>
  <w:style w:type="paragraph" w:styleId="Title">
    <w:name w:val="Title"/>
    <w:pPr>
      <w:jc w:val="center"/>
      <w:spacing w:after="200"/>
    </w:pPr>
    <w:rPr>
      <w:b/>
      <w:sz w:val="36"/>
      <w:szCs w:val="36"/>
    </w:rPr>
  </w:style>
  <w:style w:type="paragraph" w:styleId="Heading1">
    <w:name w:val="Heading 1"/>
    <w:pPr>
      <w:jc w:val="center"/>
      <w:spacing w:before="240" w:after="120"/>
    </w:pPr>
    <w:rPr>
      <w:b/>
      <w:sz w:val="22"/>
      <w:szCs w:val="22"/>
      <w:caps/>
    </w:rPr>
  </w:style>
  <w:style w:type="paragraph" w:styleId="Heading2">
    <w:name w:val="Heading 2"/>
    <w:pPr>
      <w:spacing w:before="180" w:after="80"/>
    </w:pPr>
    <w:rPr>
      <w:b/>
      <w:i/>
      <w:sz w:val="20"/>
      <w:szCs w:val="20"/>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s>
</file>