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Explainable Stacking Ensemble Learning and Decision Support Framework</w:t>
        <w:br/>
        <w:t>for Telecom Customer Churn Prediction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Abinash J.</w:t>
              <w:br/>
            </w:r>
            <w:r>
              <w:rPr>
                <w:rFonts w:ascii="Times New Roman" w:hAnsi="Times New Roman"/>
                <w:i/>
                <w:sz w:val="18"/>
              </w:rPr>
              <w:t>Dept. of Computer Science &amp; Engineering</w:t>
              <w:br/>
            </w:r>
            <w:r>
              <w:rPr>
                <w:rFonts w:ascii="Times New Roman" w:hAnsi="Times New Roman"/>
                <w:i/>
                <w:sz w:val="18"/>
              </w:rPr>
              <w:t>Kongu Engineering College</w:t>
              <w:br/>
            </w:r>
            <w:r>
              <w:rPr>
                <w:rFonts w:ascii="Times New Roman" w:hAnsi="Times New Roman"/>
                <w:i/>
                <w:sz w:val="18"/>
              </w:rPr>
              <w:t>Erode, Tamil Nadu, India</w:t>
              <w:br/>
            </w:r>
            <w:r>
              <w:rPr>
                <w:rFonts w:ascii="Times New Roman" w:hAnsi="Times New Roman"/>
                <w:i/>
                <w:sz w:val="18"/>
              </w:rPr>
              <w:t>abinash.cse@kongu.edu</w:t>
              <w:br/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Chandru Vignesh C.</w:t>
              <w:br/>
            </w:r>
            <w:r>
              <w:rPr>
                <w:rFonts w:ascii="Times New Roman" w:hAnsi="Times New Roman"/>
                <w:i/>
                <w:sz w:val="18"/>
              </w:rPr>
              <w:t>Dept. of Information Security</w:t>
              <w:br/>
            </w:r>
            <w:r>
              <w:rPr>
                <w:rFonts w:ascii="Times New Roman" w:hAnsi="Times New Roman"/>
                <w:i/>
                <w:sz w:val="18"/>
              </w:rPr>
              <w:t>Vellore Institute of Technology</w:t>
              <w:br/>
            </w:r>
            <w:r>
              <w:rPr>
                <w:rFonts w:ascii="Times New Roman" w:hAnsi="Times New Roman"/>
                <w:i/>
                <w:sz w:val="18"/>
              </w:rPr>
              <w:t>Vellore, Tamil Nadu, India</w:t>
              <w:br/>
            </w:r>
            <w:r>
              <w:rPr>
                <w:rFonts w:ascii="Times New Roman" w:hAnsi="Times New Roman"/>
                <w:i/>
                <w:sz w:val="18"/>
              </w:rPr>
              <w:t>chandruvignesh@vit.ac.in</w:t>
              <w:br/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Deepak Raja V.</w:t>
              <w:br/>
            </w:r>
            <w:r>
              <w:rPr>
                <w:rFonts w:ascii="Times New Roman" w:hAnsi="Times New Roman"/>
                <w:i/>
                <w:sz w:val="18"/>
              </w:rPr>
              <w:t>Dept. of Computer Technology</w:t>
              <w:br/>
            </w:r>
            <w:r>
              <w:rPr>
                <w:rFonts w:ascii="Times New Roman" w:hAnsi="Times New Roman"/>
                <w:i/>
                <w:sz w:val="18"/>
              </w:rPr>
              <w:t>Kongu Engineering College</w:t>
              <w:br/>
            </w:r>
            <w:r>
              <w:rPr>
                <w:rFonts w:ascii="Times New Roman" w:hAnsi="Times New Roman"/>
                <w:i/>
                <w:sz w:val="18"/>
              </w:rPr>
              <w:t>Erode, Tamil Nadu, India</w:t>
              <w:br/>
            </w:r>
            <w:r>
              <w:rPr>
                <w:rFonts w:ascii="Times New Roman" w:hAnsi="Times New Roman"/>
                <w:i/>
                <w:sz w:val="18"/>
              </w:rPr>
              <w:t>deepakraja.tech@gmail.com</w:t>
              <w:br/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/>
          <w:sz w:val="18"/>
        </w:rPr>
        <w:t>Abstract—</w:t>
      </w:r>
      <w:r>
        <w:rPr>
          <w:rFonts w:ascii="Times New Roman" w:hAnsi="Times New Roman"/>
          <w:sz w:val="18"/>
        </w:rPr>
        <w:t>Customer defection is one of the most financially damaging operational challenges in the telecommunications industry, where replacing a departing subscriber costs five to seven times more than retaining an existing one. Conventional churn pipelines often apply a fixed τ = 0.50 classification boundary that optimises for accuracy but systematically underdetects vulnerable subscribers. This paper presents an end-to-end explainable ensemble learning and retention decision-support system evaluated on balanced_telco_churn.csv (N = 8,000 records; exactly 50 % churners). Three tree-based base classifiers—Random Forest, Extreme Gradient Boosting (XGBoost), and Light Gradient Boosting Machine (LightGBM)—are trained independently on SMOTE-augmented data and fused through an out-of-fold Stacking Ensemble governed by a Logistic Regression meta-learner. A domain-informed feature engineering pipeline expands 21 raw attributes into 83 model-ready features. Per-model decision thresholds are optimised: XGBoost achieves 97.6 % recall, 94.9 % accuracy, and 99.0 % ROC-AUC at τ = 0.29; LightGBM attains 96.9 % recall, 95.0 % accuracy, and 98.9 % ROC-AUC at τ = 0.32; Random Forest records 96.3 % recall, 95.4 % accuracy, and 98.7 % ROC-AUC at τ = 0.38; and the Stacking Ensemble delivers 96.3 % recall, 95.4 % accuracy, 95.5 % F1-score, 94.7 % precision, 98.9 % ROC-AUC, and a Brier score of 0.0362 at τ = 0.26. A dual SHAP and LIME explainability pipeline feeds a state-aware retention recommendation engine. The complete framework is deployed as a production web application (FastAPI, React/Vite, SQLite).</w:t>
      </w:r>
    </w:p>
    <w:p>
      <w:pPr>
        <w:jc w:val="both"/>
      </w:pPr>
      <w:r>
        <w:rPr>
          <w:rFonts w:ascii="Times New Roman" w:hAnsi="Times New Roman"/>
          <w:b/>
          <w:i/>
          <w:sz w:val="18"/>
        </w:rPr>
        <w:t>Index Terms—</w:t>
      </w:r>
      <w:r>
        <w:rPr>
          <w:rFonts w:ascii="Times New Roman" w:hAnsi="Times New Roman"/>
          <w:sz w:val="18"/>
        </w:rPr>
        <w:t>Customer Churn Prediction, Telecom Analytics, Stacking Ensemble Learning, Decision Threshold Optimization, Explainable AI, SHAP, LIME, Retention Recommendations</w:t>
      </w:r>
    </w:p>
    <w:p/>
    <w:p>
      <w:pPr>
        <w:pStyle w:val="Heading1"/>
        <w:jc w:val="left"/>
      </w:pPr>
      <w:r>
        <w:rPr>
          <w:rFonts w:ascii="Times New Roman" w:hAnsi="Times New Roman"/>
          <w:color w:val="000000"/>
        </w:rPr>
        <w:t>I. INTRODUCTION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0"/>
        </w:rPr>
        <w:t>The rapid expansion of mobile broadband, fibre-optic internet, and bundled digital services has transformed telecommunications into one of the most intensely competitive sectors globally. Number-portability legislation, aggressive promotional pricing, and minimal switching barriers give subscribers unprecedented freedom to migrate between providers with limited friction. Operators routinely face annual attrition rates exceeding 20–30 %, with monthly churn rates between 1.5 % and 3.0 % in mature markets [1].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0"/>
        </w:rPr>
        <w:t>Acquiring a replacement subscriber costs five to seven times more than retaining an existing one, accounting for sales commissions, device subsidies, onboarding support, and margin loss during re-acquisition [2]. High-value subscribers with premium plans and long tenure represent a disproportionate share of profitability, creating cascading effects on ARPU and investor valuation when lost.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0"/>
        </w:rPr>
        <w:t>Manual identification through rule-based heuristics is inadequate at scale. Subscriber behaviour emerges from interactions of contract type, billing level, payment modality, service portfolio, and tenure that static rules cannot reliably parse [3]. Machine learning addresses this by modelling multi-feature interactions without explicit rule specification. Tree-based ensembles—Random Forest, XGBoost, and LightGBM—have delivered consistently strong performance on tabular CRM data [4].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0"/>
        </w:rPr>
        <w:t>Despite these advances, most deployed systems apply the default 0.50 probability threshold, which is sub-optimal when false negatives carry substantially higher cost [5]. Furthermore, even accurate models remain actionability-blind: they produce a probability label but no guidance on why a customer is at risk [6]. This work addresses these gaps through a layered approach combining feature engineering, stacking ensembles, threshold optimisation, dual explainability, and state-aware retention recommendations.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II. LITERATURE REVIEW</w:t>
      </w:r>
    </w:p>
    <w:p>
      <w:pPr>
        <w:jc w:val="both"/>
      </w:pPr>
      <w:r>
        <w:rPr>
          <w:rFonts w:ascii="Times New Roman" w:hAnsi="Times New Roman"/>
          <w:b w:val="0"/>
          <w:i w:val="0"/>
          <w:sz w:val="20"/>
        </w:rPr>
        <w:t>Churn prediction has attracted sustained research across machine learning and telecommunications management. Early studies relied on logistic regression and decision trees [7], establishing the relevance of contract type, tenure, and monthly charges—features that continue to dominate modern importance rankings. Hadden et al. [8] showed that bagging multiple decision trees significantly stabilised accuracy across heterogeneous customer segments. Verbeke et al. [9] confirmed ensemble superiority, particularly under class imbalance.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0"/>
        </w:rPr>
        <w:t>XGBoost [10] and LightGBM [11] introduced more powerful optimisation frameworks through additive tree structures with regularisation. Farquad et al. [12] demonstrated gradient-boosted trees capture non-obvious billing and contract interactions. Chawla et al. [13] introduced SMOTE for class rebalancing; fold-isolated SMOTE prevents target leakage [14]. SHAP [15] and LIME [16] provide global and local feature interpretability. Stacking generalisation [18] trains a meta-learner on out-of-fold predictions, capturing complementary strengths. ROC analysis [20] provides the principled basis for threshold selection under asymmetric misclassification costs.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0"/>
        </w:rPr>
        <w:t>The research gap is the integration of all these individually validated components into a coherent end-to-end deployed production system that connects model outputs to business action.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III. PROPOSED FRAMEWORK OVERVIEW</w:t>
      </w:r>
    </w:p>
    <w:p>
      <w:pPr>
        <w:jc w:val="both"/>
      </w:pPr>
      <w:r>
        <w:rPr>
          <w:rFonts w:ascii="Times New Roman" w:hAnsi="Times New Roman"/>
          <w:b w:val="0"/>
          <w:i w:val="0"/>
          <w:sz w:val="20"/>
        </w:rPr>
        <w:t>The developed framework processes subscriber records through a seven-stage pipeline from raw data ingestion to actionable retention guidance (Fig. 1):</w:t>
      </w:r>
    </w:p>
    <w:p>
      <w:pPr>
        <w:pStyle w:val="ListNumber"/>
        <w:ind w:left="567"/>
      </w:pPr>
      <w:r>
        <w:t>1. Data Ingestion: Subscriber attributes received via form or CSV batch upload.</w:t>
      </w:r>
    </w:p>
    <w:p>
      <w:pPr>
        <w:pStyle w:val="ListNumber"/>
        <w:ind w:left="567"/>
      </w:pPr>
      <w:r>
        <w:t>2. Feature Engineering: 83-feature vector constructed from six core inputs.</w:t>
      </w:r>
    </w:p>
    <w:p>
      <w:pPr>
        <w:pStyle w:val="ListNumber"/>
        <w:ind w:left="567"/>
      </w:pPr>
      <w:r>
        <w:t>3. Base Model Prediction: RF, XGBoost, and LightGBM estimate churn probability independently.</w:t>
      </w:r>
    </w:p>
    <w:p>
      <w:pPr>
        <w:pStyle w:val="ListNumber"/>
        <w:ind w:left="567"/>
      </w:pPr>
      <w:r>
        <w:t>4. Ensemble Aggregation: Logistic Regression meta-learner combines three base outputs.</w:t>
      </w:r>
    </w:p>
    <w:p>
      <w:pPr>
        <w:pStyle w:val="ListNumber"/>
        <w:ind w:left="567"/>
      </w:pPr>
      <w:r>
        <w:t>5. Threshold Decision: Each model applies its optimised τ; probabilities ≥ τ trigger churn flags.</w:t>
      </w:r>
    </w:p>
    <w:p>
      <w:pPr>
        <w:pStyle w:val="ListNumber"/>
        <w:ind w:left="567"/>
      </w:pPr>
      <w:r>
        <w:t>6. Explainability: SHAP TreeExplainer and LIME compute per-feature attributions.</w:t>
      </w:r>
    </w:p>
    <w:p>
      <w:pPr>
        <w:pStyle w:val="ListNumber"/>
        <w:ind w:left="567"/>
      </w:pPr>
      <w:r>
        <w:t>7. Recommendation: Retention engine maps attributions to prioritised, state-filtered interventions.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3490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349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Fig. 1. End-to-end system architecture: customer data → feature engineering → ensemble prediction → SHAP/LIME → retention recommendations → web dashboard.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IV. DATASET AND PREPROCESSING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A. Dataset Description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0"/>
        </w:rPr>
        <w:t>All experiments use balanced_telco_churn.csv, a domain-consistent benchmark derived from the IBM Watson Telco Customer Churn corpus. The balanced variant contains N = 8,000 subscriber records with exactly 4,000 churned and 4,000 loyal accounts (50/50 class distribution). Table I summarises the dataset characteristics.</w:t>
      </w:r>
    </w:p>
    <w:p>
      <w:pPr>
        <w:jc w:val="center"/>
      </w:pPr>
      <w:r>
        <w:t>TABLE I — Dataset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C3E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703"/>
            <w:shd w:val="clear" w:color="auto" w:fill="2C3E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Total records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8,000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Churners (Churn = Yes)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4,000 (50.0%)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Loyal (Churn = No)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4,000 (50.0%)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Raw columns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 (incl. customerID)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Engineered features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83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Numerical features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 (tenure, MonthlyCharges, TotalCharges)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Missing values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None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Target variable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Churn (Yes=1, No=0)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Train partition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80% (N=6,400) stratified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Test partition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20% (N=1,600) held-out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color w:val="000000"/>
        </w:rPr>
        <w:t>B. Primary Customer Input Features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0"/>
        </w:rPr>
        <w:t>The web interface accepts six core attributes sufficient to construct the full 83-feature vector. Table II describes each attribute's churn relevance.</w:t>
      </w:r>
    </w:p>
    <w:p>
      <w:pPr>
        <w:jc w:val="center"/>
      </w:pPr>
      <w:r>
        <w:t>TABLE II — Primary Customer Input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3E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35"/>
            <w:shd w:val="clear" w:color="auto" w:fill="2C3E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shd w:val="clear" w:color="auto" w:fill="2C3E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Churn Relevance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Tenure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Integer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Shorter tenure = higher early-phase defection risk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MonthlyCharges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Float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Higher billing correlates with dissatisfaction risk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TotalCharges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Float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Cumulative revenue; encodes tenure×charge history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Contract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Categor.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Month-to-month plans carry substantially higher defection risk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InternetService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Categor.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Fiber-optic subscribers show elevated churn in competitive markets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PaymentMethod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Categor.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Electronic check payers are a consistently high-risk segment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color w:val="000000"/>
        </w:rPr>
        <w:t>C. Preprocessing Pipeline</w:t>
      </w:r>
    </w:p>
    <w:p>
      <w:pPr>
        <w:jc w:val="both"/>
      </w:pPr>
      <w:r>
        <w:rPr>
          <w:rFonts w:ascii="Times New Roman" w:hAnsi="Times New Roman"/>
          <w:b w:val="0"/>
          <w:i w:val="0"/>
          <w:sz w:val="20"/>
        </w:rPr>
        <w:t>All transformations are fitted exclusively on the training partition and applied identically to the test set (zero leakage). Steps: customerID removal; TotalCharges numeric coercion; Yes/No binary encoding; 83-feature engineering; one-hot encoding with drop-first; StandardScaler on continuous columns; stratified 80/20 split; fold-isolated SMOTE on training data only.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V. FEATURE ENGINEERING</w:t>
      </w:r>
    </w:p>
    <w:p>
      <w:pPr>
        <w:jc w:val="both"/>
      </w:pPr>
      <w:r>
        <w:rPr>
          <w:rFonts w:ascii="Times New Roman" w:hAnsi="Times New Roman"/>
          <w:b w:val="0"/>
          <w:i w:val="0"/>
          <w:sz w:val="20"/>
        </w:rPr>
        <w:t>The 21 informative raw attributes are expanded to 83 model-ready columns through domain-driven engineering, encoding non-linear relationships that tree-based models can exploit directly. Table III summarises the principal engineered feature groups.</w:t>
      </w:r>
    </w:p>
    <w:p>
      <w:pPr>
        <w:jc w:val="center"/>
      </w:pPr>
      <w:r>
        <w:t>TABLE III — Engineered Feature Groups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3E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135"/>
            <w:shd w:val="clear" w:color="auto" w:fill="2C3E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</w:t>
            </w:r>
          </w:p>
        </w:tc>
        <w:tc>
          <w:tcPr>
            <w:tcW w:type="dxa" w:w="3135"/>
            <w:shd w:val="clear" w:color="auto" w:fill="2C3E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Representative Features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Revenue / Billing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AvgMonthlySpend, ChargeIncrease, ChargeIncreaseRatio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Tenure Signals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TenureSquared, TenureLog, IsNewCustomer, IsLongTermCustomer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Contract Flags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IsMonthToMonth, ContractLength, IsLongTermContract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Payment Flags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IsElectronicCheck, IsAutomaticPayment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Service Counts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NumServices, ServiceRiskCount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Compound Risk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HighRiskCombo, VeryHighRisk, MultipleRiskFactors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One-Hot Encoded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Contract, PaymentMethod, InternetService, service cols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Total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83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 w:val="0"/>
          <w:sz w:val="20"/>
        </w:rPr>
        <w:t>AvgMonthlySpend = TotalCharges / (tenure + 1) estimates the historical average billing rate. ChargeIncrease flags recent billing escalation; ChargeIncreaseRatio expresses it relative to historical spend. TenureSquared and TenureLog model the non-linear lifecycle. HighRiskCombo flags month-to-month plus electronic check customers. VeryHighRisk extends this to require tenure ≤ 12 months, capturing the most vulnerable early-phase subscribers.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VI. MODEL DEVELOPMENT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A. Random Forest</w:t>
      </w:r>
    </w:p>
    <w:p>
      <w:pPr>
        <w:jc w:val="both"/>
      </w:pPr>
      <w:r>
        <w:rPr>
          <w:rFonts w:ascii="Times New Roman" w:hAnsi="Times New Roman"/>
          <w:b w:val="0"/>
          <w:i w:val="0"/>
          <w:sz w:val="20"/>
        </w:rPr>
        <w:t>A Random Forest [22] builds an ensemble of T independent decision trees, each trained on a bootstrap sample with a random feature subset at each split node. Bootstrap aggregation suppresses individual-tree variance. Eq. (1): P_RF(x) = (1/T) Σ h_t(x). Configuration: 200 trees, max depth 8, min samples per leaf 3, Gini impurity, balanced class weights. At τ = 0.38: Recall 96.3%, Accuracy 95.4%, ROC-AUC 98.7%.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B. XGBoost</w:t>
      </w:r>
    </w:p>
    <w:p>
      <w:pPr>
        <w:jc w:val="both"/>
      </w:pPr>
      <w:r>
        <w:rPr>
          <w:rFonts w:ascii="Times New Roman" w:hAnsi="Times New Roman"/>
          <w:b w:val="0"/>
          <w:i w:val="0"/>
          <w:sz w:val="20"/>
        </w:rPr>
        <w:t>XGBoost [10] trains trees sequentially to correct residuals. Regularised objective: L^(k) = Σ l(y_i, ŷ^(k-1) + h_k(x_i)) + Ω(h_k), where Ω(h_k) = γT + λ||w||^2/2. Configuration: 150 trees, lr 0.04, max depth 3, λ = 2.0, α = 0.2. At τ = 0.29: Recall 97.6%, Accuracy 94.9%, ROC-AUC 99.0%, Brier 0.0347—highest recall and ROC-AUC of all evaluated models.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C. LightGBM</w:t>
      </w:r>
    </w:p>
    <w:p>
      <w:pPr>
        <w:jc w:val="both"/>
      </w:pPr>
      <w:r>
        <w:rPr>
          <w:rFonts w:ascii="Times New Roman" w:hAnsi="Times New Roman"/>
          <w:b w:val="0"/>
          <w:i w:val="0"/>
          <w:sz w:val="20"/>
        </w:rPr>
        <w:t>LightGBM [11] employs leaf-wise growth, splitting the leaf with the highest loss gain. GOSS retains all high-gradient instances while sub-sampling low-gradient ones. Configuration: 120 trees, lr 0.04, 24 leaves, max depth 3, L2 reg 2.5. At τ = 0.32: Recall 96.9%, Accuracy 95.0%, ROC-AUC 98.9%, Brier 0.0353.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D. Stacking Ensemble</w:t>
      </w:r>
    </w:p>
    <w:p>
      <w:pPr>
        <w:jc w:val="both"/>
      </w:pPr>
      <w:r>
        <w:rPr>
          <w:rFonts w:ascii="Times New Roman" w:hAnsi="Times New Roman"/>
          <w:b w:val="0"/>
          <w:i w:val="0"/>
          <w:sz w:val="20"/>
        </w:rPr>
        <w:t>The stacking architecture fuses three base classifiers through a Logistic Regression meta-learner trained on out-of-fold predictions from 5-fold stratified cross-validation. For each fold: (i) SMOTE applied to training fold only; (ii) each base model trains on the resampled fold; (iii) probability predictions collected on held-out validation fold. Meta-feature matrix M = [p_RF | p_XGB | p_LGBM] ∈ R^(n×3). Meta-learner: P_Ens(x) = σ(w0 + w1*p_RF + w2*p_XGB + w3*p_LGBM). At τ = 0.26: Recall 96.3%, F1 95.5%, Accuracy 95.4%, Precision 94.7%, ROC-AUC 98.9%, Brier 0.0362.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385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l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8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Fig. 2. Stacking ensemble: base classifiers generate OOF probability vectors assembled into the meta-feature matrix; Logistic Regression meta-learner produces the final churn probability.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VII. PERFORMANCE METRICS &amp; THRESHOLD OPTIMIZATION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A. Evaluation Metrics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0"/>
        </w:rPr>
        <w:t>Let TP, TN, FP, FN denote true positives, true negatives, false positives, and false negatives. Key metrics: Accuracy = (TP+TN)/(TP+TN+FP+FN); Precision = TP/(TP+FP); Recall = TP/(TP+FN); F1 = 2·Precision·Recall/(Precision+Recall); Brier Score = (1/n)Σ(p_i - y_i)^2. ROC-AUC quantifies rank separation across all thresholds; Brier measures calibration quality.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B. Decision Threshold Optimization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0"/>
        </w:rPr>
        <w:t>The default τ = 0.50 is sub-optimal when false negatives carry substantially higher cost than false positives. Binary prediction: ŷ_i = 1 if p_i ≥ τ, else 0. Reducing τ below 0.50 increases recall at the cost of some precision. Table IV shows the optimised thresholds; all four models operate below the 0.50 default.</w:t>
      </w:r>
    </w:p>
    <w:p>
      <w:pPr>
        <w:jc w:val="center"/>
      </w:pPr>
      <w:r>
        <w:t>TABLE IV — Optimised Decision Thresholds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3E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3135"/>
            <w:shd w:val="clear" w:color="auto" w:fill="2C3E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Threshold (τ)</w:t>
            </w:r>
          </w:p>
        </w:tc>
        <w:tc>
          <w:tcPr>
            <w:tcW w:type="dxa" w:w="3135"/>
            <w:shd w:val="clear" w:color="auto" w:fill="2C3E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vs. Default 0.50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Random Forest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0.38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Lower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XGBoost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Lower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LightGBM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0.32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Lower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Stacking Ensemble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Lower</w:t>
            </w:r>
          </w:p>
        </w:tc>
      </w:tr>
    </w:tbl>
    <w:p/>
    <w:p>
      <w:pPr>
        <w:pStyle w:val="Heading1"/>
        <w:jc w:val="left"/>
      </w:pPr>
      <w:r>
        <w:rPr>
          <w:rFonts w:ascii="Times New Roman" w:hAnsi="Times New Roman"/>
          <w:color w:val="000000"/>
        </w:rPr>
        <w:t>VIII. EXPERIMENTAL RESULTS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0"/>
        </w:rPr>
        <w:t>All models are evaluated on the withheld 20 % test partition (N = 1,600) untouched during training, feature engineering fitting, SMOTE, and cross-validation. Table V presents the complete performance profile.</w:t>
      </w:r>
    </w:p>
    <w:p>
      <w:pPr>
        <w:jc w:val="center"/>
      </w:pPr>
      <w:r>
        <w:t>TABLE V — Model Performance on Held-Out Test Set (N = 1,600)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C3E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344"/>
            <w:shd w:val="clear" w:color="auto" w:fill="2C3E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Recall (%)</w:t>
            </w:r>
          </w:p>
        </w:tc>
        <w:tc>
          <w:tcPr>
            <w:tcW w:type="dxa" w:w="1344"/>
            <w:shd w:val="clear" w:color="auto" w:fill="2C3E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F1 (%)</w:t>
            </w:r>
          </w:p>
        </w:tc>
        <w:tc>
          <w:tcPr>
            <w:tcW w:type="dxa" w:w="1344"/>
            <w:shd w:val="clear" w:color="auto" w:fill="2C3E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Acc. (%)</w:t>
            </w:r>
          </w:p>
        </w:tc>
        <w:tc>
          <w:tcPr>
            <w:tcW w:type="dxa" w:w="1344"/>
            <w:shd w:val="clear" w:color="auto" w:fill="2C3E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AUC (%)</w:t>
            </w:r>
          </w:p>
        </w:tc>
        <w:tc>
          <w:tcPr>
            <w:tcW w:type="dxa" w:w="1344"/>
            <w:shd w:val="clear" w:color="auto" w:fill="2C3E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Brier</w:t>
            </w:r>
          </w:p>
        </w:tc>
        <w:tc>
          <w:tcPr>
            <w:tcW w:type="dxa" w:w="1344"/>
            <w:shd w:val="clear" w:color="auto" w:fill="2C3E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Prec. (%)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Random Forest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96.3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95.4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95.4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98.7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0.0369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94.6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XGBoost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97.6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95.0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94.9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99.0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0.0347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92.5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LightGBM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96.9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95.1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95.0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98.9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0.0353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93.4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Stacking Ens.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96.3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95.5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95.4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98.9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0.0362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94.7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010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model_performanc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1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Fig. 3. Model performance comparison across Recall, F1-Score, Accuracy, and ROC-AUC. All models exceed 94.9% accuracy and 96.3% recall after threshold optimisation.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IX. RESULTS ANALYSIS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0"/>
        </w:rPr>
        <w:t>All four classifiers achieve ROC-AUC between 98.7% and 99.0%, confirming near-perfect rank separation between churners and non-churners.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0"/>
        </w:rPr>
        <w:t>XGBoost records the highest recall (97.6%) and ROC-AUC (99.0%), correctly identifying 97.6% of actual churners. The Brier score of 0.0347 is also the lowest. The trade-off is precision of 92.5%, reflecting the false-positive cost of τ = 0.29.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0"/>
        </w:rPr>
        <w:t>LightGBM achieves 96.9% recall, the highest accuracy (95.0%), and Brier 0.0353. Its leaf-wise growth produces a favourable recall–precision balance at τ = 0.32.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0"/>
        </w:rPr>
        <w:t>Random Forest achieves 96.3% recall and 95.4% accuracy with the most conservative threshold (0.38). Its precision of 94.6% is the second highest.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0"/>
        </w:rPr>
        <w:t>The Stacking Ensemble achieves the highest F1 (95.5%) and precision (94.7%). Operating at τ = 0.26, it matches Random Forest recall while delivering a more balanced precision–recall profile. The Logistic Regression meta-learner successfully reduces the false-positive rate relative to individual gradient-boosted models.</w:t>
      </w:r>
    </w:p>
    <w:p>
      <w:pPr>
        <w:jc w:val="center"/>
      </w:pPr>
      <w:r>
        <w:t>TABLE VI — Error Rate Summary (%)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C3E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881"/>
            <w:shd w:val="clear" w:color="auto" w:fill="2C3E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Acc. Err</w:t>
            </w:r>
          </w:p>
        </w:tc>
        <w:tc>
          <w:tcPr>
            <w:tcW w:type="dxa" w:w="1881"/>
            <w:shd w:val="clear" w:color="auto" w:fill="2C3E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Prec. Err</w:t>
            </w:r>
          </w:p>
        </w:tc>
        <w:tc>
          <w:tcPr>
            <w:tcW w:type="dxa" w:w="1881"/>
            <w:shd w:val="clear" w:color="auto" w:fill="2C3E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Rec. Err</w:t>
            </w:r>
          </w:p>
        </w:tc>
        <w:tc>
          <w:tcPr>
            <w:tcW w:type="dxa" w:w="1881"/>
            <w:shd w:val="clear" w:color="auto" w:fill="2C3E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F1 Err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Random Forest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4.6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5.4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3.7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4.6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XGBoost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7.5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5.0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LightGBM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5.0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6.6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3.1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4.9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Stacking (Prop.)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4.6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5.3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3.7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4.5</w:t>
            </w:r>
          </w:p>
        </w:tc>
      </w:tr>
    </w:tbl>
    <w:p/>
    <w:p>
      <w:pPr>
        <w:pStyle w:val="Heading1"/>
        <w:jc w:val="left"/>
      </w:pPr>
      <w:r>
        <w:rPr>
          <w:rFonts w:ascii="Times New Roman" w:hAnsi="Times New Roman"/>
          <w:color w:val="000000"/>
        </w:rPr>
        <w:t>X. SYSTEM IMPLEMENTATION</w:t>
      </w:r>
    </w:p>
    <w:p>
      <w:pPr>
        <w:jc w:val="center"/>
      </w:pPr>
      <w:r>
        <w:t>TABLE VII — Implementation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3E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135"/>
            <w:shd w:val="clear" w:color="auto" w:fill="2C3E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135"/>
            <w:shd w:val="clear" w:color="auto" w:fill="2C3E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Frontend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React (Vite)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UI, routing, visualisation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Frontend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React Router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Multi-page navigation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Backend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FastAPI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REST API, prediction serving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ML Runtime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Python 3.11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Core computation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Ensemble ML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scikit-learn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RF, Logistic Regression, preprocessing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Ensemble ML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XGBoost 4.x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Gradient-boosted classifier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Ensemble ML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LightGBM 4.7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Leaf-wise boosted classifier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Explainability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SHAP 0.51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Global and local attributions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Explainability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LIME 0.2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Local surrogate explanations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Database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SQLite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Prediction history persistence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 w:val="0"/>
          <w:sz w:val="20"/>
        </w:rPr>
        <w:t>The web interface exposes five modules: Single Customer Prediction, Batch Upload, What-If Simulator, Dashboard, and Model Comparison.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XI. EXPLAINABLE AI &amp; RETENTION RECOMMENDATIONS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A. SHAP Feature Attribution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0"/>
        </w:rPr>
        <w:t>SHAP [15] satisfies: f(x^(i)) = φ_0 + Σ φ_j^(i), where φ_0 is the baseline mean prediction and φ_j^(i) is the contribution of feature j. Positive values push toward churn; negative values push toward retention. The system uses SHAP TreeExplainer (exact for tree-based models).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B. LIME Explanation Service</w:t>
      </w:r>
    </w:p>
    <w:p>
      <w:pPr>
        <w:jc w:val="both"/>
      </w:pPr>
      <w:r>
        <w:rPr>
          <w:rFonts w:ascii="Times New Roman" w:hAnsi="Times New Roman"/>
          <w:b w:val="0"/>
          <w:i w:val="0"/>
          <w:sz w:val="20"/>
        </w:rPr>
        <w:t>LIME [16] approximates the ensemble with a sparse linear surrogate near each prediction: ξ(x_0) = argmin_g L(f, g, π_{x_0}) + Ω(g). The surrogate's coefficients serve as local feature importance weights, complementing SHAP from an independent perspective.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C. Retention Recommendation Engine</w:t>
      </w:r>
    </w:p>
    <w:p>
      <w:pPr>
        <w:jc w:val="both"/>
      </w:pPr>
      <w:r>
        <w:rPr>
          <w:rFonts w:ascii="Times New Roman" w:hAnsi="Times New Roman"/>
          <w:b w:val="0"/>
          <w:i w:val="0"/>
          <w:sz w:val="20"/>
        </w:rPr>
        <w:t>The engine operates in four stages: (1) Risk Classification (Low/Medium/High/Critical); (2) Driver Extraction (SHAP+LIME mapped to business factor categories: Contract, Payment, Billing, Lifecycle, Service Experience); (3) State-Aware Filtering (prune inapplicable interventions); (4) Prioritised Ranking by composite score. Interventions: contract upgrade incentives, automatic payment migration, billing discount review, onboarding support, service bundles, technical support, and fibre quality investigation.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271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xai_recommendation_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7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Fig. 4. Retention recommendation workflow: SHAP/LIME drivers mapped to business factor categories, state-filtered, scored, and returned as ranked intervention packages.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D. What-If Simulator &amp; Batch Prediction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0"/>
        </w:rPr>
        <w:t>The What-If Simulator allows analysts to modify customer attributes and observe how the ensemble probability responds (without asserting causal effects). Batch Upload enables CSV-based multi-customer prediction with downloadable results including probability, risk level, and primary SHAP-identified driver.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XII. DISCUSSION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0"/>
        </w:rPr>
        <w:t>The consistently strong performance of all three tree-based classifiers reflects the suitability of gradient-boosted and bagged ensembles for tabular CRM data. The stacking ensemble's value lies in robustness: achieving the highest F1 and precision while matching other models on recall indicates the meta-learner identifies regions where each base classifier is most reliable. Decision threshold optimisation proved essential: operating all models at 0.50 would produce substantially lower recall. The dual SHAP and LIME layer enables retention agents to understand why a subscriber was flagged, enabling more targeted interventions than a probability label alone provides. Results apply to the balanced benchmark and require recalibration for real-world 15–30% prevalence.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XIII. LIMITATIONS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0"/>
        </w:rPr>
        <w:t>The 50/50 class distribution is artificial; production deployments would alter thresholds and false-positive rates. All evaluation uses a single dataset; external validation is needed. SHAP/LIME attributions describe model behaviour, not causal subscriber behaviour. Retention recommendations are heuristic and have not been validated in controlled field trials.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XIV. CONCLUSION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0"/>
        </w:rPr>
        <w:t>This work developed an end-to-end explainable ensemble learning framework for telecom customer churn prediction. Feature engineering expanded 21 raw attributes to 83 model-ready features. Three tree classifiers were combined through an out-of-fold Stacking Ensemble. Per-model thresholds were optimised: XGBoost achieved 97.6% recall and 99.0% ROC-AUC; LightGBM recorded 96.9% recall and 98.9% ROC-AUC; Random Forest delivered 96.3% recall and 98.7% ROC-AUC; and the Stacking Ensemble produced 96.3% recall, 95.5% F1, 94.7% precision, 98.9% ROC-AUC, and Brier 0.0362. The dual SHAP and LIME pipeline feeds a state-aware retention recommendation engine, deployed as a production FastAPI/React/SQLite application. External validation on naturalistic class distributions and controlled intervention trials are the primary directions for future work.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XV. FUTURE ENHANCEMENT</w:t>
      </w:r>
    </w:p>
    <w:p>
      <w:pPr>
        <w:jc w:val="both"/>
      </w:pPr>
      <w:r>
        <w:rPr>
          <w:rFonts w:ascii="Times New Roman" w:hAnsi="Times New Roman"/>
          <w:b w:val="0"/>
          <w:i w:val="0"/>
          <w:sz w:val="20"/>
        </w:rPr>
        <w:t>Future work will explore: production deployment validation; isotonic regression calibration for real-world 15–30% churn prevalence; longitudinal dataset expansion with time-series usage features; uplift modeling for individual treatment effect estimation; customer lifetime value integration; causal inference for structural driver identification; concept drift monitoring with automated retraining; online learning for near-real-time model refinement; and closed-loop intervention effectiveness tracking to improve recommendation relevance over time.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REFERENCES</w:t>
      </w:r>
    </w:p>
    <w:p>
      <w:pPr>
        <w:ind w:left="425" w:hanging="425"/>
      </w:pPr>
      <w:r>
        <w:rPr>
          <w:rFonts w:ascii="Times New Roman" w:hAnsi="Times New Roman"/>
          <w:sz w:val="18"/>
        </w:rPr>
        <w:t>[1] M. Xu, J. Wong, K. J. Lim, and F. Pan, "Customer churn prediction for the telecommunications sector using machine learning techniques," Information Sciences, vol. 571, pp. 45-62, 2021.</w:t>
      </w:r>
    </w:p>
    <w:p>
      <w:pPr>
        <w:ind w:left="425" w:hanging="425"/>
      </w:pPr>
      <w:r>
        <w:rPr>
          <w:rFonts w:ascii="Times New Roman" w:hAnsi="Times New Roman"/>
          <w:sz w:val="18"/>
        </w:rPr>
        <w:t>[2] A. Amin et al., "Customer churn prediction in telecommunication industry using data certainty," Journal of Business Research, vol. 94, pp. 290-301, 2019.</w:t>
      </w:r>
    </w:p>
    <w:p>
      <w:pPr>
        <w:ind w:left="425" w:hanging="425"/>
      </w:pPr>
      <w:r>
        <w:rPr>
          <w:rFonts w:ascii="Times New Roman" w:hAnsi="Times New Roman"/>
          <w:sz w:val="18"/>
        </w:rPr>
        <w:t>[3] K. B. Bhatt and P. Thaker, "Churn prediction of telecom industry using machine learning techniques," in Proc. Int. Conf. Innov. Inf. Technol., 2020, pp. 112-117.</w:t>
      </w:r>
    </w:p>
    <w:p>
      <w:pPr>
        <w:ind w:left="425" w:hanging="425"/>
      </w:pPr>
      <w:r>
        <w:rPr>
          <w:rFonts w:ascii="Times New Roman" w:hAnsi="Times New Roman"/>
          <w:sz w:val="18"/>
        </w:rPr>
        <w:t>[4] K. Coussement, K. W. De Bock, and D. F. Benoit, "Benchmarking data mining algorithms for customer churn prediction," Eur. J. Oper. Res., vol. 257, no. 1, pp. 216-235, 2017.</w:t>
      </w:r>
    </w:p>
    <w:p>
      <w:pPr>
        <w:ind w:left="425" w:hanging="425"/>
      </w:pPr>
      <w:r>
        <w:rPr>
          <w:rFonts w:ascii="Times New Roman" w:hAnsi="Times New Roman"/>
          <w:sz w:val="18"/>
        </w:rPr>
        <w:t>[5] P. Lalwani et al., "Customer churn prediction system: A machine learning approach," Computing, vol. 104, no. 2, pp. 271-294, 2022.</w:t>
      </w:r>
    </w:p>
    <w:p>
      <w:pPr>
        <w:ind w:left="425" w:hanging="425"/>
      </w:pPr>
      <w:r>
        <w:rPr>
          <w:rFonts w:ascii="Times New Roman" w:hAnsi="Times New Roman"/>
          <w:sz w:val="18"/>
        </w:rPr>
        <w:t>[6] V. Mikalef et al., "Predictive analytics and machine learning in direct marketing," Ann. Oper. Res., vol. 306, pp. 285-306, 2021.</w:t>
      </w:r>
    </w:p>
    <w:p>
      <w:pPr>
        <w:ind w:left="425" w:hanging="425"/>
      </w:pPr>
      <w:r>
        <w:rPr>
          <w:rFonts w:ascii="Times New Roman" w:hAnsi="Times New Roman"/>
          <w:sz w:val="18"/>
        </w:rPr>
        <w:t>[7] W. Verbeke et al., "New insights into churn prediction in the telecommunication sector: A profit driven data mining approach," Eur. J. Oper. Res., vol. 218, no. 1, pp. 211-229, 2012.</w:t>
      </w:r>
    </w:p>
    <w:p>
      <w:pPr>
        <w:ind w:left="425" w:hanging="425"/>
      </w:pPr>
      <w:r>
        <w:rPr>
          <w:rFonts w:ascii="Times New Roman" w:hAnsi="Times New Roman"/>
          <w:sz w:val="18"/>
        </w:rPr>
        <w:t>[8] J. Hadden et al., "Computer assisted customer churn management: State-of-the-art and future trends," Comput. Oper. Res., vol. 34, no. 10, pp. 2902-2917, 2007.</w:t>
      </w:r>
    </w:p>
    <w:p>
      <w:pPr>
        <w:ind w:left="425" w:hanging="425"/>
      </w:pPr>
      <w:r>
        <w:rPr>
          <w:rFonts w:ascii="Times New Roman" w:hAnsi="Times New Roman"/>
          <w:sz w:val="18"/>
        </w:rPr>
        <w:t>[9] W. Verbeke, D. Martens, C. Mues, and B. Baesens, "Building comprehensible customer churn prediction models," Expert Syst. Appl., vol. 38, no. 3, pp. 2354-2364, 2011.</w:t>
      </w:r>
    </w:p>
    <w:p>
      <w:pPr>
        <w:ind w:left="425" w:hanging="425"/>
      </w:pPr>
      <w:r>
        <w:rPr>
          <w:rFonts w:ascii="Times New Roman" w:hAnsi="Times New Roman"/>
          <w:sz w:val="18"/>
        </w:rPr>
        <w:t>[10] T. Chen and C. Guestrin, "XGBoost: A scalable tree boosting system," in Proc. 22nd ACM SIGKDD Conf., 2016, pp. 785-794.</w:t>
      </w:r>
    </w:p>
    <w:p>
      <w:pPr>
        <w:ind w:left="425" w:hanging="425"/>
      </w:pPr>
      <w:r>
        <w:rPr>
          <w:rFonts w:ascii="Times New Roman" w:hAnsi="Times New Roman"/>
          <w:sz w:val="18"/>
        </w:rPr>
        <w:t>[11] G. Ke et al., "LightGBM: A highly efficient gradient boosting decision tree," in Adv. Neural Inf. Process. Syst., 2017, pp. 3146-3154.</w:t>
      </w:r>
    </w:p>
    <w:p>
      <w:pPr>
        <w:ind w:left="425" w:hanging="425"/>
      </w:pPr>
      <w:r>
        <w:rPr>
          <w:rFonts w:ascii="Times New Roman" w:hAnsi="Times New Roman"/>
          <w:sz w:val="18"/>
        </w:rPr>
        <w:t>[12] M. A. H. Farquad, V. Ravi, and S. B. Raju, "Churn prediction using comprehensible SVM: An analytical CRM application," Appl. Soft Comput., vol. 19, pp. 31-40, 2014.</w:t>
      </w:r>
    </w:p>
    <w:p>
      <w:pPr>
        <w:ind w:left="425" w:hanging="425"/>
      </w:pPr>
      <w:r>
        <w:rPr>
          <w:rFonts w:ascii="Times New Roman" w:hAnsi="Times New Roman"/>
          <w:sz w:val="18"/>
        </w:rPr>
        <w:t>[13] N. V. Chawla et al., "SMOTE: Synthetic minority over-sampling technique," J. Artif. Intell. Res., vol. 16, pp. 321-357, 2002.</w:t>
      </w:r>
    </w:p>
    <w:p>
      <w:pPr>
        <w:ind w:left="425" w:hanging="425"/>
      </w:pPr>
      <w:r>
        <w:rPr>
          <w:rFonts w:ascii="Times New Roman" w:hAnsi="Times New Roman"/>
          <w:sz w:val="18"/>
        </w:rPr>
        <w:t>[14] G. Haixiang et al., "Learning from class-imbalanced data: Review of methods and applications," Expert Syst. Appl., vol. 73, pp. 220-239, 2017.</w:t>
      </w:r>
    </w:p>
    <w:p>
      <w:pPr>
        <w:ind w:left="425" w:hanging="425"/>
      </w:pPr>
      <w:r>
        <w:rPr>
          <w:rFonts w:ascii="Times New Roman" w:hAnsi="Times New Roman"/>
          <w:sz w:val="18"/>
        </w:rPr>
        <w:t>[15] S. M. Lundberg and S.-I. Lee, "A unified approach to interpreting model predictions," in Adv. Neural Inf. Process. Syst., 2017, pp. 4765-4774.</w:t>
      </w:r>
    </w:p>
    <w:p>
      <w:pPr>
        <w:ind w:left="425" w:hanging="425"/>
      </w:pPr>
      <w:r>
        <w:rPr>
          <w:rFonts w:ascii="Times New Roman" w:hAnsi="Times New Roman"/>
          <w:sz w:val="18"/>
        </w:rPr>
        <w:t>[16] M. T. Ribeiro, S. Singh, and C. Guestrin, "Why should I trust you? Explaining the predictions of any classifier," in Proc. 22nd ACM SIGKDD Conf., 2016, pp. 1135-1144.</w:t>
      </w:r>
    </w:p>
    <w:p>
      <w:pPr>
        <w:ind w:left="425" w:hanging="425"/>
      </w:pPr>
      <w:r>
        <w:rPr>
          <w:rFonts w:ascii="Times New Roman" w:hAnsi="Times New Roman"/>
          <w:sz w:val="18"/>
        </w:rPr>
        <w:t>[17] M. Fernandez-Delgado et al., "Do we need hundreds of classifiers to solve real world classification problems?," J. Mach. Learn. Res., vol. 15, no. 1, pp. 3133-3181, 2014.</w:t>
      </w:r>
    </w:p>
    <w:p>
      <w:pPr>
        <w:ind w:left="425" w:hanging="425"/>
      </w:pPr>
      <w:r>
        <w:rPr>
          <w:rFonts w:ascii="Times New Roman" w:hAnsi="Times New Roman"/>
          <w:sz w:val="18"/>
        </w:rPr>
        <w:t>[18] D. H. Wolpert, "Stacked generalization," Neural Networks, vol. 5, no. 2, pp. 241-259, 1992.</w:t>
      </w:r>
    </w:p>
    <w:p>
      <w:pPr>
        <w:ind w:left="425" w:hanging="425"/>
      </w:pPr>
      <w:r>
        <w:rPr>
          <w:rFonts w:ascii="Times New Roman" w:hAnsi="Times New Roman"/>
          <w:sz w:val="18"/>
        </w:rPr>
        <w:t>[19] Z.-H. Zhou, Ensemble Methods: Foundations and Algorithms. CRC Press, 2012.</w:t>
      </w:r>
    </w:p>
    <w:p>
      <w:pPr>
        <w:ind w:left="425" w:hanging="425"/>
      </w:pPr>
      <w:r>
        <w:rPr>
          <w:rFonts w:ascii="Times New Roman" w:hAnsi="Times New Roman"/>
          <w:sz w:val="18"/>
        </w:rPr>
        <w:t>[20] T. Fawcett, "An introduction to ROC analysis," Pattern Recognit. Lett., vol. 27, no. 8, pp. 861-874, 2006.</w:t>
      </w:r>
    </w:p>
    <w:p>
      <w:pPr>
        <w:ind w:left="425" w:hanging="425"/>
      </w:pPr>
      <w:r>
        <w:rPr>
          <w:rFonts w:ascii="Times New Roman" w:hAnsi="Times New Roman"/>
          <w:sz w:val="18"/>
        </w:rPr>
        <w:t>[21] F. Devriendt, D. Moldovan, and W. Verbeke, "A literature survey and experimental evaluation of the state-of-the-art in uplift modeling," Big Data, vol. 6, no. 1, pp. 13-41, 2018.</w:t>
      </w:r>
    </w:p>
    <w:p>
      <w:pPr>
        <w:ind w:left="425" w:hanging="425"/>
      </w:pPr>
      <w:r>
        <w:rPr>
          <w:rFonts w:ascii="Times New Roman" w:hAnsi="Times New Roman"/>
          <w:sz w:val="18"/>
        </w:rPr>
        <w:t>[22] L. Breiman, "Random forests," Mach. Learn., vol. 45, no. 1, pp. 5-32, 2001.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