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1E3A8A"/>
          <w:sz w:val="34"/>
        </w:rPr>
        <w:t>Explainable Stacking Ensemble Learning and Prescriptive Decision Support Framework for Telecom Customer Churn Prediction</w:t>
      </w:r>
    </w:p>
    <w:p>
      <w:pPr>
        <w:spacing w:after="280"/>
        <w:jc w:val="center"/>
      </w:pPr>
      <w:r>
        <w:rPr>
          <w:rFonts w:ascii="Times New Roman" w:hAnsi="Times New Roman"/>
          <w:i/>
          <w:color w:val="4B5563"/>
          <w:sz w:val="19"/>
        </w:rPr>
        <w:t>Department of Computer Science and Engineering</w:t>
        <w:br/>
        <w:t>Autonomous Engineering Institution, Perundurai, Erode, Tamil Nadu, India</w:t>
        <w:br/>
        <w:t>Comprehensive Research Technical Report &amp; Reference Manuscript</w:t>
      </w:r>
    </w:p>
    <w:p>
      <w:pPr>
        <w:spacing w:after="120"/>
        <w:ind w:left="576" w:right="576"/>
        <w:jc w:val="both"/>
      </w:pPr>
      <w:r>
        <w:rPr>
          <w:b/>
          <w:sz w:val="19"/>
        </w:rPr>
        <w:t>Abstract—</w:t>
      </w:r>
      <w:r>
        <w:rPr>
          <w:sz w:val="19"/>
        </w:rPr>
        <w:t>Customer attrition in telecommunication networks poses severe financial liabilities, with acquisition costs exceeding retention investments by an estimated factor of five. Although supervised machine learning algorithms demonstrate competitive predictive accuracy, conventional churn classification pipelines suffer from three operational deficiencies: vulnerability to probability miscalibration, black-box decision opacity that obscures individual churn drivers, and an absence of prescriptive, state-aware intervention mechanisms. To overcome these barriers, this paper develops an end-to-end explainable stacking ensemble learning and decision-support framework. The architecture integrates three diverse base classifiers—Random Forest (bootstrap aggregation), XGBoost (residual gradient boosting), and LightGBM (leaf-wise tree growth)—combined through a calibrated Level-1 Logistic Regression meta-learner trained on 5-fold out-of-fold predictions. The benchmark evaluation is executed on an untouched held-out test cohort of 1,600 subscribers (N = 1,600, derived from an 80/20 stratified split of an 8,000-subscriber balanced cohort). Experimental results demonstrate that the Stacking Ensemble achieves the highest Recall of 95.4% (capturing 763 out of 800 true churners), an F1-score of 95.6%, an overall Accuracy of 95.6%, and the best probability calibration with a Brier score of 0.0346, alongside a competitive ROC-AUC of 99.0% (raw 0.989630). Random Forest achieves the highest Precision at 96.0%. To translate predictions into operational utility, local feature attributions are computed using TreeSHAP and contrasted with LIME, revealing an empirical rank correlation of rho = 0.2421 ± 0.1091 and establishing the necessity of integrated attribution mechanisms. Furthermore, a cost-sensitive threshold analysis optimizes the operating decision point to tau* = 0.26, generating a simulated net financial benefit of +$151,850 (ROI of +373.6%) over the test cohort. The methodology is deployed as an asynchronous full-stack platform featuring single-subscriber profiling, multi-record batch processing, and what-if sensitivity analysis, bridging predictive modeling and executive retention strategy.</w:t>
      </w:r>
    </w:p>
    <w:p>
      <w:pPr>
        <w:spacing w:after="280"/>
        <w:ind w:left="576" w:right="576"/>
        <w:jc w:val="both"/>
      </w:pPr>
      <w:r>
        <w:rPr>
          <w:b/>
          <w:sz w:val="19"/>
        </w:rPr>
        <w:t>Keywords—</w:t>
      </w:r>
      <w:r>
        <w:rPr>
          <w:i/>
          <w:sz w:val="19"/>
        </w:rPr>
        <w:t>Customer Churn Prediction, Stacking Ensemble Learning, Explainable Artificial Intelligence (XAI), SHAP Attribution, Cost-Sensitive Thresholding, Decision Support Systems, Telecommunications.</w:t>
      </w:r>
    </w:p>
    <w:p>
      <w:pPr>
        <w:keepNext/>
        <w:spacing w:before="280" w:after="120"/>
      </w:pPr>
      <w:r>
        <w:rPr>
          <w:rFonts w:ascii="Times New Roman" w:hAnsi="Times New Roman"/>
          <w:b/>
          <w:color w:val="111827"/>
          <w:sz w:val="26"/>
        </w:rPr>
        <w:t>1. INTRODUCTION</w:t>
      </w:r>
    </w:p>
    <w:p>
      <w:pPr>
        <w:spacing w:after="100" w:line="276" w:lineRule="auto"/>
        <w:jc w:val="both"/>
      </w:pPr>
      <w:r>
        <w:rPr>
          <w:rFonts w:ascii="Times New Roman" w:hAnsi="Times New Roman"/>
          <w:b w:val="0"/>
          <w:i w:val="0"/>
          <w:sz w:val="21"/>
        </w:rPr>
        <w:t>Customer retention is a strategic imperative in the modern telecommunications industry. As mobile and broadband markets reach mature saturation levels in developed and emerging economies, subscriber acquisition has become increasingly capital-intensive. Industry benchmarks establish that acquiring a new telecom subscriber costs between four and seven times more than retaining an existing account (CAC approximately $300 - $500 vs. Cretention approximately $50). The financial impact of customer churn extends beyond immediate subscription revenue loss; it diminishes customer lifetime value (CLV), depresses average revenue per user (ARPU), and deteriorates market share. Consequently, accurate identification of subscribers at imminent risk of contract cancellation, coupled with proactive intervention strategies, constitutes a critical capability for operational viability.</w:t>
      </w:r>
    </w:p>
    <w:p>
      <w:pPr>
        <w:spacing w:after="100" w:line="276" w:lineRule="auto"/>
        <w:jc w:val="both"/>
      </w:pPr>
      <w:r>
        <w:rPr>
          <w:rFonts w:ascii="Times New Roman" w:hAnsi="Times New Roman"/>
          <w:b w:val="0"/>
          <w:i w:val="0"/>
          <w:sz w:val="21"/>
        </w:rPr>
        <w:t>Historically, telecommunication providers relied on descriptive statistics, rule-based heuristics, and linear parametric models such as Logistic Regression to detect customer disengagement. While transparent, these classical techniques fail to capture the multi-dimensional, non-linear interactions inherent in customer behavior—such as the complex interdependence between contract duration, service utilization velocity, payment method friction, and pricing elasticity. The subsequent adoption of non-linear tree-based ensembles, notably Random Forests and Gradient Boosted Decision Trees (GBDT), significantly improved predictive discriminative capacity.</w:t>
      </w:r>
    </w:p>
    <w:p>
      <w:pPr>
        <w:spacing w:after="100" w:line="276" w:lineRule="auto"/>
        <w:jc w:val="both"/>
      </w:pPr>
      <w:r>
        <w:rPr>
          <w:rFonts w:ascii="Times New Roman" w:hAnsi="Times New Roman"/>
          <w:b w:val="0"/>
          <w:i w:val="0"/>
          <w:sz w:val="21"/>
        </w:rPr>
        <w:t>However, existing machine learning churn prediction systems suffer from three critical structural deficiencies:</w:t>
      </w:r>
    </w:p>
    <w:p>
      <w:pPr>
        <w:spacing w:after="100" w:line="276" w:lineRule="auto"/>
        <w:jc w:val="both"/>
      </w:pPr>
      <w:r>
        <w:rPr>
          <w:rFonts w:ascii="Times New Roman" w:hAnsi="Times New Roman"/>
          <w:b w:val="0"/>
          <w:i w:val="0"/>
          <w:sz w:val="21"/>
        </w:rPr>
        <w:t>1. Uncalibrated Probability Estimates: Conventional classifiers evaluated under default probability thresholds (tau = 0.50) frequently output overconfident or miscalibrated probabilities. In asymmetric business contexts where a false negative (failing to identify an exiting customer, forfeiting approximately $500 in CLV) is substantially more detrimental than a false positive (unnecessary outreach costing approximately $50), default classification thresholds yield sub-optimal operational decisions.</w:t>
      </w:r>
    </w:p>
    <w:p>
      <w:pPr>
        <w:spacing w:after="100" w:line="276" w:lineRule="auto"/>
        <w:jc w:val="both"/>
      </w:pPr>
      <w:r>
        <w:rPr>
          <w:rFonts w:ascii="Times New Roman" w:hAnsi="Times New Roman"/>
          <w:b w:val="0"/>
          <w:i w:val="0"/>
          <w:sz w:val="21"/>
        </w:rPr>
        <w:t>2. The Black-Box Interpretability Chasm: High-capacity ensemble models operate as opaque transfer functions. Frontline retention specialists cannot discern why a particular customer has been flagged. Recommending a generic retention discount to a subscriber whose underlying dissatisfaction stems from technical broadband support failures wastes promotional budget while failing to resolve the core attrition driver.</w:t>
      </w:r>
    </w:p>
    <w:p>
      <w:pPr>
        <w:spacing w:after="100" w:line="276" w:lineRule="auto"/>
        <w:jc w:val="both"/>
      </w:pPr>
      <w:r>
        <w:rPr>
          <w:rFonts w:ascii="Times New Roman" w:hAnsi="Times New Roman"/>
          <w:b w:val="0"/>
          <w:i w:val="0"/>
          <w:sz w:val="21"/>
        </w:rPr>
        <w:t>3. The Prescriptive Gap: Existing academic literature overwhelmingly terminates at metric reporting (Accuracy, ROC-AUC), providing zero actionable guidance on translating churn probabilities into structured, state-aware customer save offers.</w:t>
      </w:r>
    </w:p>
    <w:p>
      <w:pPr>
        <w:spacing w:after="100" w:line="276" w:lineRule="auto"/>
        <w:jc w:val="both"/>
      </w:pPr>
      <w:r>
        <w:rPr>
          <w:rFonts w:ascii="Times New Roman" w:hAnsi="Times New Roman"/>
          <w:b w:val="0"/>
          <w:i w:val="0"/>
          <w:sz w:val="21"/>
        </w:rPr>
        <w:t>To resolve these challenges, this study presents a unified, explainable stacking ensemble framework tailored for telecommunication customer retention decision support. By synthesizing the variance-reduction strengths of Random Forest, the sequential residual learning of XGBoost, and the leaf-wise optimization of LightGBM under a penalized Logistic Regression meta-learner, the architecture maximizes true churner capture (Recall) while maintaining strict probability calibration. This predictive foundation is explicitly coupled with Game-Theoretic Shapley values (TreeSHAP) and prescriptive recommendation rules, delivering an end-to-end operational pipeline from raw data to business intervention.</w:t>
      </w:r>
    </w:p>
    <w:p>
      <w:pPr>
        <w:keepNext/>
        <w:spacing w:before="280" w:after="120"/>
      </w:pPr>
      <w:r>
        <w:rPr>
          <w:rFonts w:ascii="Times New Roman" w:hAnsi="Times New Roman"/>
          <w:b/>
          <w:color w:val="111827"/>
          <w:sz w:val="26"/>
        </w:rPr>
        <w:t>2. LITERATURE SURVEY &amp; RELATED WORK</w:t>
      </w:r>
    </w:p>
    <w:p>
      <w:pPr>
        <w:spacing w:after="100" w:line="276" w:lineRule="auto"/>
        <w:jc w:val="both"/>
      </w:pPr>
      <w:r>
        <w:rPr>
          <w:rFonts w:ascii="Times New Roman" w:hAnsi="Times New Roman"/>
          <w:b w:val="0"/>
          <w:i w:val="0"/>
          <w:sz w:val="21"/>
        </w:rPr>
        <w:t>The predictive modeling of customer attrition has evolved across three distinct paradigms: classical statistical algorithms, advanced tree-based ensemble learning, and explainable decision-support systems.</w:t>
      </w:r>
    </w:p>
    <w:p>
      <w:pPr>
        <w:keepNext/>
        <w:spacing w:before="200" w:after="80"/>
      </w:pPr>
      <w:r>
        <w:rPr>
          <w:rFonts w:ascii="Times New Roman" w:hAnsi="Times New Roman"/>
          <w:b/>
          <w:color w:val="1F2937"/>
          <w:sz w:val="23"/>
        </w:rPr>
        <w:t>2.1 Classical Statistical Models and Early Benchmarks</w:t>
      </w:r>
    </w:p>
    <w:p>
      <w:pPr>
        <w:spacing w:after="100" w:line="276" w:lineRule="auto"/>
        <w:jc w:val="both"/>
      </w:pPr>
      <w:r>
        <w:rPr>
          <w:rFonts w:ascii="Times New Roman" w:hAnsi="Times New Roman"/>
          <w:b w:val="0"/>
          <w:i w:val="0"/>
          <w:sz w:val="21"/>
        </w:rPr>
        <w:t>Early churn research relied on standard statistical classification techniques. Verbeke et al. (2012) conducted a comprehensive evaluation of classification algorithms for telecom churn, establishing that rule induction and decision trees offered necessary interpretability but exhibited poor generalization when applied to high-dimensional billing data. Vafeiadis et al. (2015) compared Artificial Neural Networks (ANN), Support Vector Machines (SVM), Decision Trees, and Naive Bayes on the IBM Telco benchmark, observing that non-linear SVMs achieved superior accuracy (84.2%) but suffered from high computational latency and an inability to provide operational explanations to customer care representatives.</w:t>
      </w:r>
    </w:p>
    <w:p>
      <w:pPr>
        <w:keepNext/>
        <w:spacing w:before="200" w:after="80"/>
      </w:pPr>
      <w:r>
        <w:rPr>
          <w:rFonts w:ascii="Times New Roman" w:hAnsi="Times New Roman"/>
          <w:b/>
          <w:color w:val="1F2937"/>
          <w:sz w:val="23"/>
        </w:rPr>
        <w:t>2.2 Gradient Boosting and Ensemble Learning</w:t>
      </w:r>
    </w:p>
    <w:p>
      <w:pPr>
        <w:spacing w:after="100" w:line="276" w:lineRule="auto"/>
        <w:jc w:val="both"/>
      </w:pPr>
      <w:r>
        <w:rPr>
          <w:rFonts w:ascii="Times New Roman" w:hAnsi="Times New Roman"/>
          <w:b w:val="0"/>
          <w:i w:val="0"/>
          <w:sz w:val="21"/>
        </w:rPr>
        <w:t>The introduction of ensemble paradigms substantially elevated predictive benchmarks. Breiman (2001) demonstrated that bootstrap aggregation in Random Forests mitigates individual tree variance without increasing bias. Chen and Guestrin (2016) developed XGBoost, incorporating second-order Taylor expansions of the loss function alongside L1 and L2 leaf regularization to prevent overfitting on structured tabular datasets. Ke et al. (2017) introduced LightGBM, utilizing Gradient-based One-Side Sampling (GOSS) and Exclusive Feature Bundling (EFB) to accelerate gradient boosting over categorical-heavy tabular datasets. In the churn domain, Stripling et al. (2018) verified that ensemble stacking consistently out-discriminates isolated base models by combining heterogeneous hypothesis spaces, though the authors emphasized that stacking frameworks require careful out-of-fold calibration to prevent meta-learner data leakage.</w:t>
      </w:r>
    </w:p>
    <w:p>
      <w:pPr>
        <w:keepNext/>
        <w:spacing w:before="200" w:after="80"/>
      </w:pPr>
      <w:r>
        <w:rPr>
          <w:rFonts w:ascii="Times New Roman" w:hAnsi="Times New Roman"/>
          <w:b/>
          <w:color w:val="1F2937"/>
          <w:sz w:val="23"/>
        </w:rPr>
        <w:t>2.3 Model Interpretability and Prescriptive Retention Support</w:t>
      </w:r>
    </w:p>
    <w:p>
      <w:pPr>
        <w:spacing w:after="100" w:line="276" w:lineRule="auto"/>
        <w:jc w:val="both"/>
      </w:pPr>
      <w:r>
        <w:rPr>
          <w:rFonts w:ascii="Times New Roman" w:hAnsi="Times New Roman"/>
          <w:b w:val="0"/>
          <w:i w:val="0"/>
          <w:sz w:val="21"/>
        </w:rPr>
        <w:t>The emergence of Explainable Artificial Intelligence (XAI) provided mechanisms to unpack complex models. Lundberg and Lee (2017) formalized Shapley Additive exPlanations (SHAP), proving that tree-specific polynomial-time algorithms (TreeSHAP) satisfy local accuracy, missingness, and consistency. Ribeiro et al. (2016) proposed LIME (Local Interpretable Model-agnostic Explanations), fitting sparse linear surrogates in the local perturbation space of individual instances. While XAI has been applied to financial credit scoring and medical diagnostics, its systematic integration with cost-sensitive decision rules and real-time retention dashboards in telecom systems remains limited.</w:t>
      </w:r>
    </w:p>
    <w:p>
      <w:pPr>
        <w:spacing w:after="100" w:line="276" w:lineRule="auto"/>
        <w:jc w:val="center"/>
      </w:pPr>
      <w:r>
        <w:rPr>
          <w:rFonts w:ascii="Times New Roman" w:hAnsi="Times New Roman"/>
          <w:b/>
          <w:i w:val="0"/>
          <w:sz w:val="21"/>
        </w:rPr>
        <w:t>TABLE 2.1: STRUCTURED LITERATURE SURVEY OF CHURN PREDICTION AND EXPLAINABILITY</w:t>
      </w:r>
    </w:p>
    <w:tbl>
      <w:tblPr>
        <w:tblStyle w:val="TableGrid"/>
        <w:tblW w:type="auto" w:w="0"/>
        <w:jc w:val="center"/>
        <w:tblLook w:firstColumn="1" w:firstRow="1" w:lastColumn="0" w:lastRow="0" w:noHBand="0" w:noVBand="1" w:val="04A0"/>
      </w:tblPr>
      <w:tblGrid>
        <w:gridCol w:w="1882"/>
        <w:gridCol w:w="1882"/>
        <w:gridCol w:w="1882"/>
        <w:gridCol w:w="1882"/>
        <w:gridCol w:w="1882"/>
      </w:tblGrid>
      <w:tr>
        <w:trPr>
          <w:cantSplit/>
          <w:tblHeader/>
        </w:trPr>
        <w:tc>
          <w:tcPr>
            <w:tcW w:type="dxa" w:w="1584"/>
            <w:shd w:val="clear" w:color="auto" w:fill="1E3A8A"/>
          </w:tcPr>
          <w:p>
            <w:pPr>
              <w:jc w:val="center"/>
            </w:pPr>
            <w:r>
              <w:rPr>
                <w:rFonts w:ascii="Times New Roman" w:hAnsi="Times New Roman"/>
                <w:b/>
                <w:color w:val="FFFFFF"/>
                <w:sz w:val="19"/>
              </w:rPr>
              <w:t>Author(s) &amp; Year</w:t>
            </w:r>
          </w:p>
        </w:tc>
        <w:tc>
          <w:tcPr>
            <w:tcW w:type="dxa" w:w="1440"/>
            <w:shd w:val="clear" w:color="auto" w:fill="1E3A8A"/>
          </w:tcPr>
          <w:p>
            <w:pPr>
              <w:jc w:val="center"/>
            </w:pPr>
            <w:r>
              <w:rPr>
                <w:rFonts w:ascii="Times New Roman" w:hAnsi="Times New Roman"/>
                <w:b/>
                <w:color w:val="FFFFFF"/>
                <w:sz w:val="19"/>
              </w:rPr>
              <w:t>Forum / Venue</w:t>
            </w:r>
          </w:p>
        </w:tc>
        <w:tc>
          <w:tcPr>
            <w:tcW w:type="dxa" w:w="2016"/>
            <w:shd w:val="clear" w:color="auto" w:fill="1E3A8A"/>
          </w:tcPr>
          <w:p>
            <w:pPr>
              <w:jc w:val="center"/>
            </w:pPr>
            <w:r>
              <w:rPr>
                <w:rFonts w:ascii="Times New Roman" w:hAnsi="Times New Roman"/>
                <w:b/>
                <w:color w:val="FFFFFF"/>
                <w:sz w:val="19"/>
              </w:rPr>
              <w:t>Methodology</w:t>
            </w:r>
          </w:p>
        </w:tc>
        <w:tc>
          <w:tcPr>
            <w:tcW w:type="dxa" w:w="2304"/>
            <w:shd w:val="clear" w:color="auto" w:fill="1E3A8A"/>
          </w:tcPr>
          <w:p>
            <w:pPr>
              <w:jc w:val="center"/>
            </w:pPr>
            <w:r>
              <w:rPr>
                <w:rFonts w:ascii="Times New Roman" w:hAnsi="Times New Roman"/>
                <w:b/>
                <w:color w:val="FFFFFF"/>
                <w:sz w:val="19"/>
              </w:rPr>
              <w:t>Key Findings</w:t>
            </w:r>
          </w:p>
        </w:tc>
        <w:tc>
          <w:tcPr>
            <w:tcW w:type="dxa" w:w="2160"/>
            <w:shd w:val="clear" w:color="auto" w:fill="1E3A8A"/>
          </w:tcPr>
          <w:p>
            <w:pPr>
              <w:jc w:val="center"/>
            </w:pPr>
            <w:r>
              <w:rPr>
                <w:rFonts w:ascii="Times New Roman" w:hAnsi="Times New Roman"/>
                <w:b/>
                <w:color w:val="FFFFFF"/>
                <w:sz w:val="19"/>
              </w:rPr>
              <w:t>Limitations in Practice</w:t>
            </w:r>
          </w:p>
        </w:tc>
      </w:tr>
      <w:tr>
        <w:trPr>
          <w:cantSplit/>
        </w:trPr>
        <w:tc>
          <w:tcPr>
            <w:tcW w:type="dxa" w:w="1584"/>
            <w:shd w:val="clear" w:color="auto" w:fill="F8FAFC"/>
          </w:tcPr>
          <w:p>
            <w:r>
              <w:rPr>
                <w:rFonts w:ascii="Times New Roman" w:hAnsi="Times New Roman"/>
                <w:sz w:val="18"/>
              </w:rPr>
              <w:t>Verbeke et al. (2012)</w:t>
            </w:r>
          </w:p>
        </w:tc>
        <w:tc>
          <w:tcPr>
            <w:tcW w:type="dxa" w:w="1440"/>
            <w:shd w:val="clear" w:color="auto" w:fill="F8FAFC"/>
          </w:tcPr>
          <w:p>
            <w:r>
              <w:rPr>
                <w:rFonts w:ascii="Times New Roman" w:hAnsi="Times New Roman"/>
                <w:sz w:val="18"/>
              </w:rPr>
              <w:t>IEEE TKDE</w:t>
            </w:r>
          </w:p>
        </w:tc>
        <w:tc>
          <w:tcPr>
            <w:tcW w:type="dxa" w:w="2016"/>
            <w:shd w:val="clear" w:color="auto" w:fill="F8FAFC"/>
          </w:tcPr>
          <w:p>
            <w:r>
              <w:rPr>
                <w:rFonts w:ascii="Times New Roman" w:hAnsi="Times New Roman"/>
                <w:sz w:val="18"/>
              </w:rPr>
              <w:t>AntMiner+, Decision Trees, Logistic Regression</w:t>
            </w:r>
          </w:p>
        </w:tc>
        <w:tc>
          <w:tcPr>
            <w:tcW w:type="dxa" w:w="2304"/>
            <w:shd w:val="clear" w:color="auto" w:fill="F8FAFC"/>
          </w:tcPr>
          <w:p>
            <w:r>
              <w:rPr>
                <w:rFonts w:ascii="Times New Roman" w:hAnsi="Times New Roman"/>
                <w:sz w:val="18"/>
              </w:rPr>
              <w:t>Identified non-linear behavior in tenure and contract terms; emphasized rule comprehensibility.</w:t>
            </w:r>
          </w:p>
        </w:tc>
        <w:tc>
          <w:tcPr>
            <w:tcW w:type="dxa" w:w="2160"/>
            <w:shd w:val="clear" w:color="auto" w:fill="F8FAFC"/>
          </w:tcPr>
          <w:p>
            <w:r>
              <w:rPr>
                <w:rFonts w:ascii="Times New Roman" w:hAnsi="Times New Roman"/>
                <w:sz w:val="18"/>
              </w:rPr>
              <w:t>Lower predictive recall (&lt;78%); unable to handle complex interaction velocities.</w:t>
            </w:r>
          </w:p>
        </w:tc>
      </w:tr>
      <w:tr>
        <w:trPr>
          <w:cantSplit/>
        </w:trPr>
        <w:tc>
          <w:tcPr>
            <w:tcW w:type="dxa" w:w="1584"/>
            <w:shd w:val="clear" w:color="auto" w:fill="FFFFFF"/>
          </w:tcPr>
          <w:p>
            <w:r>
              <w:rPr>
                <w:rFonts w:ascii="Times New Roman" w:hAnsi="Times New Roman"/>
                <w:sz w:val="18"/>
              </w:rPr>
              <w:t>Vafeiadis et al. (2015)</w:t>
            </w:r>
          </w:p>
        </w:tc>
        <w:tc>
          <w:tcPr>
            <w:tcW w:type="dxa" w:w="1440"/>
            <w:shd w:val="clear" w:color="auto" w:fill="FFFFFF"/>
          </w:tcPr>
          <w:p>
            <w:r>
              <w:rPr>
                <w:rFonts w:ascii="Times New Roman" w:hAnsi="Times New Roman"/>
                <w:sz w:val="18"/>
              </w:rPr>
              <w:t>Computers &amp; Ind. Eng.</w:t>
            </w:r>
          </w:p>
        </w:tc>
        <w:tc>
          <w:tcPr>
            <w:tcW w:type="dxa" w:w="2016"/>
            <w:shd w:val="clear" w:color="auto" w:fill="FFFFFF"/>
          </w:tcPr>
          <w:p>
            <w:r>
              <w:rPr>
                <w:rFonts w:ascii="Times New Roman" w:hAnsi="Times New Roman"/>
                <w:sz w:val="18"/>
              </w:rPr>
              <w:t>SVM with RBF kernel, Multi-Layer Perceptrons</w:t>
            </w:r>
          </w:p>
        </w:tc>
        <w:tc>
          <w:tcPr>
            <w:tcW w:type="dxa" w:w="2304"/>
            <w:shd w:val="clear" w:color="auto" w:fill="FFFFFF"/>
          </w:tcPr>
          <w:p>
            <w:r>
              <w:rPr>
                <w:rFonts w:ascii="Times New Roman" w:hAnsi="Times New Roman"/>
                <w:sz w:val="18"/>
              </w:rPr>
              <w:t>Non-linear kernels improved accuracy (84.2%) over Naive Bayes and Logistic Regression.</w:t>
            </w:r>
          </w:p>
        </w:tc>
        <w:tc>
          <w:tcPr>
            <w:tcW w:type="dxa" w:w="2160"/>
            <w:shd w:val="clear" w:color="auto" w:fill="FFFFFF"/>
          </w:tcPr>
          <w:p>
            <w:r>
              <w:rPr>
                <w:rFonts w:ascii="Times New Roman" w:hAnsi="Times New Roman"/>
                <w:sz w:val="18"/>
              </w:rPr>
              <w:t>Opaque black-box models; no feature-attribution mechanisms for frontline agents.</w:t>
            </w:r>
          </w:p>
        </w:tc>
      </w:tr>
      <w:tr>
        <w:trPr>
          <w:cantSplit/>
        </w:trPr>
        <w:tc>
          <w:tcPr>
            <w:tcW w:type="dxa" w:w="1584"/>
            <w:shd w:val="clear" w:color="auto" w:fill="F8FAFC"/>
          </w:tcPr>
          <w:p>
            <w:r>
              <w:rPr>
                <w:rFonts w:ascii="Times New Roman" w:hAnsi="Times New Roman"/>
                <w:sz w:val="18"/>
              </w:rPr>
              <w:t>Chen &amp; Guestrin (2016)</w:t>
            </w:r>
          </w:p>
        </w:tc>
        <w:tc>
          <w:tcPr>
            <w:tcW w:type="dxa" w:w="1440"/>
            <w:shd w:val="clear" w:color="auto" w:fill="F8FAFC"/>
          </w:tcPr>
          <w:p>
            <w:r>
              <w:rPr>
                <w:rFonts w:ascii="Times New Roman" w:hAnsi="Times New Roman"/>
                <w:sz w:val="18"/>
              </w:rPr>
              <w:t>ACM SIGKDD</w:t>
            </w:r>
          </w:p>
        </w:tc>
        <w:tc>
          <w:tcPr>
            <w:tcW w:type="dxa" w:w="2016"/>
            <w:shd w:val="clear" w:color="auto" w:fill="F8FAFC"/>
          </w:tcPr>
          <w:p>
            <w:r>
              <w:rPr>
                <w:rFonts w:ascii="Times New Roman" w:hAnsi="Times New Roman"/>
                <w:sz w:val="18"/>
              </w:rPr>
              <w:t>XGBoost Gradient Tree Boosting</w:t>
            </w:r>
          </w:p>
        </w:tc>
        <w:tc>
          <w:tcPr>
            <w:tcW w:type="dxa" w:w="2304"/>
            <w:shd w:val="clear" w:color="auto" w:fill="F8FAFC"/>
          </w:tcPr>
          <w:p>
            <w:r>
              <w:rPr>
                <w:rFonts w:ascii="Times New Roman" w:hAnsi="Times New Roman"/>
                <w:sz w:val="18"/>
              </w:rPr>
              <w:t>Formalized regularized objective functions, outperforming standard trees on tabular tasks.</w:t>
            </w:r>
          </w:p>
        </w:tc>
        <w:tc>
          <w:tcPr>
            <w:tcW w:type="dxa" w:w="2160"/>
            <w:shd w:val="clear" w:color="auto" w:fill="F8FAFC"/>
          </w:tcPr>
          <w:p>
            <w:r>
              <w:rPr>
                <w:rFonts w:ascii="Times New Roman" w:hAnsi="Times New Roman"/>
                <w:sz w:val="18"/>
              </w:rPr>
              <w:t>Requires careful hyperparameter tuning; outputs raw uncalibrated margin scores.</w:t>
            </w:r>
          </w:p>
        </w:tc>
      </w:tr>
      <w:tr>
        <w:trPr>
          <w:cantSplit/>
        </w:trPr>
        <w:tc>
          <w:tcPr>
            <w:tcW w:type="dxa" w:w="1584"/>
            <w:shd w:val="clear" w:color="auto" w:fill="FFFFFF"/>
          </w:tcPr>
          <w:p>
            <w:r>
              <w:rPr>
                <w:rFonts w:ascii="Times New Roman" w:hAnsi="Times New Roman"/>
                <w:sz w:val="18"/>
              </w:rPr>
              <w:t>Ke et al. (2017)</w:t>
            </w:r>
          </w:p>
        </w:tc>
        <w:tc>
          <w:tcPr>
            <w:tcW w:type="dxa" w:w="1440"/>
            <w:shd w:val="clear" w:color="auto" w:fill="FFFFFF"/>
          </w:tcPr>
          <w:p>
            <w:r>
              <w:rPr>
                <w:rFonts w:ascii="Times New Roman" w:hAnsi="Times New Roman"/>
                <w:sz w:val="18"/>
              </w:rPr>
              <w:t>NeurIPS</w:t>
            </w:r>
          </w:p>
        </w:tc>
        <w:tc>
          <w:tcPr>
            <w:tcW w:type="dxa" w:w="2016"/>
            <w:shd w:val="clear" w:color="auto" w:fill="FFFFFF"/>
          </w:tcPr>
          <w:p>
            <w:r>
              <w:rPr>
                <w:rFonts w:ascii="Times New Roman" w:hAnsi="Times New Roman"/>
                <w:sz w:val="18"/>
              </w:rPr>
              <w:t>LightGBM with GOSS &amp; EFB</w:t>
            </w:r>
          </w:p>
        </w:tc>
        <w:tc>
          <w:tcPr>
            <w:tcW w:type="dxa" w:w="2304"/>
            <w:shd w:val="clear" w:color="auto" w:fill="FFFFFF"/>
          </w:tcPr>
          <w:p>
            <w:r>
              <w:rPr>
                <w:rFonts w:ascii="Times New Roman" w:hAnsi="Times New Roman"/>
                <w:sz w:val="18"/>
              </w:rPr>
              <w:t>Demonstrated 10x faster training speeds on structured categorical benchmarks.</w:t>
            </w:r>
          </w:p>
        </w:tc>
        <w:tc>
          <w:tcPr>
            <w:tcW w:type="dxa" w:w="2160"/>
            <w:shd w:val="clear" w:color="auto" w:fill="FFFFFF"/>
          </w:tcPr>
          <w:p>
            <w:r>
              <w:rPr>
                <w:rFonts w:ascii="Times New Roman" w:hAnsi="Times New Roman"/>
                <w:sz w:val="18"/>
              </w:rPr>
              <w:t>Leaf-wise splitting can overfit on small or imbalanced training partitions.</w:t>
            </w:r>
          </w:p>
        </w:tc>
      </w:tr>
      <w:tr>
        <w:trPr>
          <w:cantSplit/>
        </w:trPr>
        <w:tc>
          <w:tcPr>
            <w:tcW w:type="dxa" w:w="1584"/>
            <w:shd w:val="clear" w:color="auto" w:fill="F8FAFC"/>
          </w:tcPr>
          <w:p>
            <w:r>
              <w:rPr>
                <w:rFonts w:ascii="Times New Roman" w:hAnsi="Times New Roman"/>
                <w:sz w:val="18"/>
              </w:rPr>
              <w:t>Lundberg &amp; Lee (2017)</w:t>
            </w:r>
          </w:p>
        </w:tc>
        <w:tc>
          <w:tcPr>
            <w:tcW w:type="dxa" w:w="1440"/>
            <w:shd w:val="clear" w:color="auto" w:fill="F8FAFC"/>
          </w:tcPr>
          <w:p>
            <w:r>
              <w:rPr>
                <w:rFonts w:ascii="Times New Roman" w:hAnsi="Times New Roman"/>
                <w:sz w:val="18"/>
              </w:rPr>
              <w:t>NeurIPS</w:t>
            </w:r>
          </w:p>
        </w:tc>
        <w:tc>
          <w:tcPr>
            <w:tcW w:type="dxa" w:w="2016"/>
            <w:shd w:val="clear" w:color="auto" w:fill="F8FAFC"/>
          </w:tcPr>
          <w:p>
            <w:r>
              <w:rPr>
                <w:rFonts w:ascii="Times New Roman" w:hAnsi="Times New Roman"/>
                <w:sz w:val="18"/>
              </w:rPr>
              <w:t>Unified Game-Theoretic TreeSHAP</w:t>
            </w:r>
          </w:p>
        </w:tc>
        <w:tc>
          <w:tcPr>
            <w:tcW w:type="dxa" w:w="2304"/>
            <w:shd w:val="clear" w:color="auto" w:fill="F8FAFC"/>
          </w:tcPr>
          <w:p>
            <w:r>
              <w:rPr>
                <w:rFonts w:ascii="Times New Roman" w:hAnsi="Times New Roman"/>
                <w:sz w:val="18"/>
              </w:rPr>
              <w:t>Established axiomatic consistency and local efficiency for tree-based attributions.</w:t>
            </w:r>
          </w:p>
        </w:tc>
        <w:tc>
          <w:tcPr>
            <w:tcW w:type="dxa" w:w="2160"/>
            <w:shd w:val="clear" w:color="auto" w:fill="F8FAFC"/>
          </w:tcPr>
          <w:p>
            <w:r>
              <w:rPr>
                <w:rFonts w:ascii="Times New Roman" w:hAnsi="Times New Roman"/>
                <w:sz w:val="18"/>
              </w:rPr>
              <w:t>Computes attribution only; does not translate scores into business interventions.</w:t>
            </w:r>
          </w:p>
        </w:tc>
      </w:tr>
      <w:tr>
        <w:trPr>
          <w:cantSplit/>
        </w:trPr>
        <w:tc>
          <w:tcPr>
            <w:tcW w:type="dxa" w:w="1584"/>
            <w:shd w:val="clear" w:color="auto" w:fill="FFFFFF"/>
          </w:tcPr>
          <w:p>
            <w:r>
              <w:rPr>
                <w:rFonts w:ascii="Times New Roman" w:hAnsi="Times New Roman"/>
                <w:sz w:val="18"/>
              </w:rPr>
              <w:t>Proposed Framework (2026)</w:t>
            </w:r>
          </w:p>
        </w:tc>
        <w:tc>
          <w:tcPr>
            <w:tcW w:type="dxa" w:w="1440"/>
            <w:shd w:val="clear" w:color="auto" w:fill="FFFFFF"/>
          </w:tcPr>
          <w:p>
            <w:r>
              <w:rPr>
                <w:rFonts w:ascii="Times New Roman" w:hAnsi="Times New Roman"/>
                <w:sz w:val="18"/>
              </w:rPr>
              <w:t>IEEE Reference</w:t>
            </w:r>
          </w:p>
        </w:tc>
        <w:tc>
          <w:tcPr>
            <w:tcW w:type="dxa" w:w="2016"/>
            <w:shd w:val="clear" w:color="auto" w:fill="FFFFFF"/>
          </w:tcPr>
          <w:p>
            <w:r>
              <w:rPr>
                <w:rFonts w:ascii="Times New Roman" w:hAnsi="Times New Roman"/>
                <w:sz w:val="18"/>
              </w:rPr>
              <w:t>Stacking (RF+XGB+LGBM) -&gt; Logistic Meta -&gt; TreeSHAP -&gt; Cost Rules</w:t>
            </w:r>
          </w:p>
        </w:tc>
        <w:tc>
          <w:tcPr>
            <w:tcW w:type="dxa" w:w="2304"/>
            <w:shd w:val="clear" w:color="auto" w:fill="FFFFFF"/>
          </w:tcPr>
          <w:p>
            <w:r>
              <w:rPr>
                <w:rFonts w:ascii="Times New Roman" w:hAnsi="Times New Roman"/>
                <w:sz w:val="18"/>
              </w:rPr>
              <w:t>Achieves 95.4% Recall, 0.0346 Brier score, and +$151,850 net ROI on N=1,600 test cohort.</w:t>
            </w:r>
          </w:p>
        </w:tc>
        <w:tc>
          <w:tcPr>
            <w:tcW w:type="dxa" w:w="2160"/>
            <w:shd w:val="clear" w:color="auto" w:fill="FFFFFF"/>
          </w:tcPr>
          <w:p>
            <w:r>
              <w:rPr>
                <w:rFonts w:ascii="Times New Roman" w:hAnsi="Times New Roman"/>
                <w:sz w:val="18"/>
              </w:rPr>
              <w:t>Synthetic 50/50 training distribution requires prevalence recalibration in wild deployment.</w:t>
            </w:r>
          </w:p>
        </w:tc>
      </w:tr>
    </w:tbl>
    <w:p>
      <w:pPr>
        <w:keepNext/>
        <w:spacing w:before="200" w:after="80"/>
      </w:pPr>
      <w:r>
        <w:rPr>
          <w:rFonts w:ascii="Times New Roman" w:hAnsi="Times New Roman"/>
          <w:b/>
          <w:color w:val="1F2937"/>
          <w:sz w:val="23"/>
        </w:rPr>
        <w:t>2.4 Research Gap</w:t>
      </w:r>
    </w:p>
    <w:p>
      <w:pPr>
        <w:spacing w:after="100" w:line="276" w:lineRule="auto"/>
        <w:jc w:val="both"/>
      </w:pPr>
      <w:r>
        <w:rPr>
          <w:rFonts w:ascii="Times New Roman" w:hAnsi="Times New Roman"/>
          <w:b w:val="0"/>
          <w:i w:val="0"/>
          <w:sz w:val="21"/>
        </w:rPr>
        <w:t>Despite extensive exploration, existing telecommunication churn frameworks display critical research gaps: 1) The disconnect between prediction and action, where customers are flagged without diagnosing the root cause; 2) The neglect of probabilistic calibration in asymmetric operational environments where Cost(FN) = $500 &gt;&gt; Cost(FP) = $50; and 3) The absence of XAI concordance audits, where models blindly trust local explainers without validating stability across paradigms.</w:t>
      </w:r>
    </w:p>
    <w:p>
      <w:pPr>
        <w:keepNext/>
        <w:spacing w:before="280" w:after="120"/>
      </w:pPr>
      <w:r>
        <w:rPr>
          <w:rFonts w:ascii="Times New Roman" w:hAnsi="Times New Roman"/>
          <w:b/>
          <w:color w:val="111827"/>
          <w:sz w:val="26"/>
        </w:rPr>
        <w:t>3. PROPOSED SYSTEM ARCHITECTURE</w:t>
      </w:r>
    </w:p>
    <w:p>
      <w:pPr>
        <w:spacing w:after="100" w:line="276" w:lineRule="auto"/>
        <w:jc w:val="both"/>
      </w:pPr>
      <w:r>
        <w:rPr>
          <w:rFonts w:ascii="Times New Roman" w:hAnsi="Times New Roman"/>
          <w:b w:val="0"/>
          <w:i w:val="0"/>
          <w:sz w:val="21"/>
        </w:rPr>
        <w:t>The proposed system integrates data preprocessing, out-of-fold stacking meta-learning, cost-sensitive threshold tuning, dual explainability, and prescriptive recommendation rules into an asynchronous, enterprise-grade architecture. The workflow begins with customer data ingestion, either as single customer payload profiles or multi-customer CSV batches. Data flows sequentially through the transformation pipeline, the Level-0 base classifier ensemble, the Level-1 meta-learner, the cost-sensitive threshold optimizer, the TreeSHAP explainer, and the prescriptive decision engine.</w:t>
      </w:r>
    </w:p>
    <w:p>
      <w:pPr>
        <w:spacing w:before="160" w:after="80"/>
        <w:jc w:val="center"/>
      </w:pPr>
      <w:r>
        <w:drawing>
          <wp:inline xmlns:a="http://schemas.openxmlformats.org/drawingml/2006/main" xmlns:pic="http://schemas.openxmlformats.org/drawingml/2006/picture">
            <wp:extent cx="5303520" cy="669532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303520" cy="6695328"/>
                    </a:xfrm>
                    <a:prstGeom prst="rect"/>
                  </pic:spPr>
                </pic:pic>
              </a:graphicData>
            </a:graphic>
          </wp:inline>
        </w:drawing>
      </w:r>
    </w:p>
    <w:p>
      <w:pPr>
        <w:spacing w:after="200"/>
        <w:jc w:val="center"/>
      </w:pPr>
      <w:r>
        <w:rPr>
          <w:rFonts w:ascii="Times New Roman" w:hAnsi="Times New Roman"/>
          <w:i/>
          <w:sz w:val="18"/>
        </w:rPr>
        <w:t>Fig. 1. End-to-end architecture of the proposed explainable telecom customer churn prediction and retention decision-support system, illustrating data transformations, Level-0 base classifiers, Level-1 logistic stacking, cost-sensitive thresholding, TreeSHAP attribution, and prescriptive retention rule mapping.</w:t>
      </w:r>
    </w:p>
    <w:p>
      <w:pPr>
        <w:keepNext/>
        <w:spacing w:before="200" w:after="80"/>
      </w:pPr>
      <w:r>
        <w:rPr>
          <w:rFonts w:ascii="Times New Roman" w:hAnsi="Times New Roman"/>
          <w:b/>
          <w:color w:val="1F2937"/>
          <w:sz w:val="23"/>
        </w:rPr>
        <w:t>3.1 Preprocessing and Domain Feature Engineering</w:t>
      </w:r>
    </w:p>
    <w:p>
      <w:pPr>
        <w:spacing w:after="100" w:line="276" w:lineRule="auto"/>
        <w:jc w:val="both"/>
      </w:pPr>
      <w:r>
        <w:rPr>
          <w:rFonts w:ascii="Times New Roman" w:hAnsi="Times New Roman"/>
          <w:b w:val="0"/>
          <w:i w:val="0"/>
          <w:sz w:val="21"/>
        </w:rPr>
        <w:t>The dataset contains 20 raw domain attributes which are transformed into 27 analytical features during preprocessing. The transformation pipeline executes missing value imputation, type casting, one-hot encoding for multi-level nominal variables, and continuous feature scaling. Crucially, seven specialized domain interaction features were engineered to capture subscriber velocity and commitment:</w:t>
      </w:r>
    </w:p>
    <w:p>
      <w:pPr>
        <w:spacing w:after="100" w:line="276" w:lineRule="auto"/>
        <w:jc w:val="both"/>
      </w:pPr>
      <w:r>
        <w:rPr>
          <w:rFonts w:ascii="Times New Roman" w:hAnsi="Times New Roman"/>
          <w:b w:val="0"/>
          <w:i w:val="0"/>
          <w:sz w:val="21"/>
        </w:rPr>
        <w:t>1. Charges-per-Tenure (charges_per_tenure = TotalCharges / (tenure + 1.0)): Isolates monthly spend velocity relative to subscriber lifecycle length.</w:t>
      </w:r>
    </w:p>
    <w:p>
      <w:pPr>
        <w:spacing w:after="100" w:line="276" w:lineRule="auto"/>
        <w:jc w:val="both"/>
      </w:pPr>
      <w:r>
        <w:rPr>
          <w:rFonts w:ascii="Times New Roman" w:hAnsi="Times New Roman"/>
          <w:b w:val="0"/>
          <w:i w:val="0"/>
          <w:sz w:val="21"/>
        </w:rPr>
        <w:t>2. Tenure Cohort Binning (tenure_group): Discretizes tenure into five operational lifecycle phases (0-12, 12-24, 24-48, 48-60, 60-72 months).</w:t>
      </w:r>
    </w:p>
    <w:p>
      <w:pPr>
        <w:spacing w:after="100" w:line="276" w:lineRule="auto"/>
        <w:jc w:val="both"/>
      </w:pPr>
      <w:r>
        <w:rPr>
          <w:rFonts w:ascii="Times New Roman" w:hAnsi="Times New Roman"/>
          <w:b w:val="0"/>
          <w:i w:val="0"/>
          <w:sz w:val="21"/>
        </w:rPr>
        <w:t>3. Total Subscribed Services (total_services): Cumulative integer count spanning OnlineSecurity, OnlineBackup, DeviceProtection, TechSupport, StreamingTV, StreamingMovies, and PhoneService.</w:t>
      </w:r>
    </w:p>
    <w:p>
      <w:pPr>
        <w:spacing w:after="100" w:line="276" w:lineRule="auto"/>
        <w:jc w:val="both"/>
      </w:pPr>
      <w:r>
        <w:rPr>
          <w:rFonts w:ascii="Times New Roman" w:hAnsi="Times New Roman"/>
          <w:b w:val="0"/>
          <w:i w:val="0"/>
          <w:sz w:val="21"/>
        </w:rPr>
        <w:t>4. Dual-Play Interaction Flag (has_internet_and_phone): Binary indicator for bundled telephony and broadband.</w:t>
      </w:r>
    </w:p>
    <w:p>
      <w:pPr>
        <w:spacing w:after="100" w:line="276" w:lineRule="auto"/>
        <w:jc w:val="both"/>
      </w:pPr>
      <w:r>
        <w:rPr>
          <w:rFonts w:ascii="Times New Roman" w:hAnsi="Times New Roman"/>
          <w:b w:val="0"/>
          <w:i w:val="0"/>
          <w:sz w:val="21"/>
        </w:rPr>
        <w:t>5. Streaming Utilization Index (streaming_services): Discrete count (0, 1, 2) reflecting entertainment bundle consumption.</w:t>
      </w:r>
    </w:p>
    <w:p>
      <w:pPr>
        <w:spacing w:after="100" w:line="276" w:lineRule="auto"/>
        <w:jc w:val="both"/>
      </w:pPr>
      <w:r>
        <w:rPr>
          <w:rFonts w:ascii="Times New Roman" w:hAnsi="Times New Roman"/>
          <w:b w:val="0"/>
          <w:i w:val="0"/>
          <w:sz w:val="21"/>
        </w:rPr>
        <w:t>6. Security Bundle Attachment (security_services): Discrete count (0, 1, 2) measuring account cybersecurity commitment.</w:t>
      </w:r>
    </w:p>
    <w:p>
      <w:pPr>
        <w:spacing w:after="100" w:line="276" w:lineRule="auto"/>
        <w:jc w:val="both"/>
      </w:pPr>
      <w:r>
        <w:rPr>
          <w:rFonts w:ascii="Times New Roman" w:hAnsi="Times New Roman"/>
          <w:b w:val="0"/>
          <w:i w:val="0"/>
          <w:sz w:val="21"/>
        </w:rPr>
        <w:t>7. Acute Risk Profile Flag (high_risk_profile = 1 if Contract == 'Month-to-month' and PaymentMethod == 'Electronic check' else 0): Identifies the single highest attrition quadrant in telecommunications.</w:t>
      </w:r>
    </w:p>
    <w:p>
      <w:pPr>
        <w:keepNext/>
        <w:spacing w:before="280" w:after="120"/>
      </w:pPr>
      <w:r>
        <w:rPr>
          <w:rFonts w:ascii="Times New Roman" w:hAnsi="Times New Roman"/>
          <w:b/>
          <w:color w:val="111827"/>
          <w:sz w:val="26"/>
        </w:rPr>
        <w:t>4. DATASET &amp; BENCHMARK CHARACTERISTICS</w:t>
      </w:r>
    </w:p>
    <w:p>
      <w:pPr>
        <w:spacing w:after="100" w:line="276" w:lineRule="auto"/>
        <w:jc w:val="both"/>
      </w:pPr>
      <w:r>
        <w:rPr>
          <w:rFonts w:ascii="Times New Roman" w:hAnsi="Times New Roman"/>
          <w:b w:val="0"/>
          <w:i w:val="0"/>
          <w:sz w:val="21"/>
        </w:rPr>
        <w:t>The primary benchmark evaluation utilizes the verified dataset balanced_telco_churn.csv consisting of exactly 8,000 subscriber records. The cohort exhibits an exact 50.00% balance between churners (N = 4,000) and loyal subscribers (N = 4,000). To ensure methodological rigor and completely prevent data leakage, a strict stratified 80/20 train/test split was executed:</w:t>
      </w:r>
    </w:p>
    <w:p>
      <w:pPr>
        <w:spacing w:after="100" w:line="276" w:lineRule="auto"/>
        <w:jc w:val="both"/>
      </w:pPr>
      <w:r>
        <w:rPr>
          <w:rFonts w:ascii="Times New Roman" w:hAnsi="Times New Roman"/>
          <w:b w:val="0"/>
          <w:i w:val="0"/>
          <w:sz w:val="21"/>
        </w:rPr>
        <w:t>• Training Cohort: 80% stratified partition (N_train = 6,400 subscribers; 3,200 loyal, 3,200 churners). All preprocessing transformations, encoders, scalers, and out-of-fold meta-learner parameters were learned exclusively on this partition.</w:t>
      </w:r>
    </w:p>
    <w:p>
      <w:pPr>
        <w:spacing w:after="100" w:line="276" w:lineRule="auto"/>
        <w:jc w:val="both"/>
      </w:pPr>
      <w:r>
        <w:rPr>
          <w:rFonts w:ascii="Times New Roman" w:hAnsi="Times New Roman"/>
          <w:b w:val="0"/>
          <w:i w:val="0"/>
          <w:sz w:val="21"/>
        </w:rPr>
        <w:t>• Held-Out Test Cohort: 20% stratified partition (N_test = 1,600 subscribers; 800 loyal, 800 churners). This evaluation partition was completely sealed and untouched throughout feature selection and hyperparameter optimization.</w:t>
      </w:r>
    </w:p>
    <w:p>
      <w:pPr>
        <w:spacing w:after="100" w:line="276" w:lineRule="auto"/>
        <w:jc w:val="center"/>
      </w:pPr>
      <w:r>
        <w:rPr>
          <w:rFonts w:ascii="Times New Roman" w:hAnsi="Times New Roman"/>
          <w:b/>
          <w:i w:val="0"/>
          <w:sz w:val="21"/>
        </w:rPr>
        <w:t>TABLE 4.1: BENCHMARK DATASET PARTITIONING AND COHORT ATTRIBUTES</w:t>
      </w:r>
    </w:p>
    <w:tbl>
      <w:tblPr>
        <w:tblStyle w:val="TableGrid"/>
        <w:tblW w:type="auto" w:w="0"/>
        <w:jc w:val="center"/>
        <w:tblLook w:firstColumn="1" w:firstRow="1" w:lastColumn="0" w:lastRow="0" w:noHBand="0" w:noVBand="1" w:val="04A0"/>
      </w:tblPr>
      <w:tblGrid>
        <w:gridCol w:w="2353"/>
        <w:gridCol w:w="2353"/>
        <w:gridCol w:w="2353"/>
        <w:gridCol w:w="2353"/>
      </w:tblGrid>
      <w:tr>
        <w:trPr>
          <w:cantSplit/>
          <w:tblHeader/>
        </w:trPr>
        <w:tc>
          <w:tcPr>
            <w:tcW w:type="dxa" w:w="2880"/>
            <w:shd w:val="clear" w:color="auto" w:fill="1E3A8A"/>
          </w:tcPr>
          <w:p>
            <w:pPr>
              <w:jc w:val="center"/>
            </w:pPr>
            <w:r>
              <w:rPr>
                <w:rFonts w:ascii="Times New Roman" w:hAnsi="Times New Roman"/>
                <w:b/>
                <w:color w:val="FFFFFF"/>
                <w:sz w:val="19"/>
              </w:rPr>
              <w:t>Partition / Cohort</w:t>
            </w:r>
          </w:p>
        </w:tc>
        <w:tc>
          <w:tcPr>
            <w:tcW w:type="dxa" w:w="2160"/>
            <w:shd w:val="clear" w:color="auto" w:fill="1E3A8A"/>
          </w:tcPr>
          <w:p>
            <w:pPr>
              <w:jc w:val="center"/>
            </w:pPr>
            <w:r>
              <w:rPr>
                <w:rFonts w:ascii="Times New Roman" w:hAnsi="Times New Roman"/>
                <w:b/>
                <w:color w:val="FFFFFF"/>
                <w:sz w:val="19"/>
              </w:rPr>
              <w:t>Split Ratio</w:t>
            </w:r>
          </w:p>
        </w:tc>
        <w:tc>
          <w:tcPr>
            <w:tcW w:type="dxa" w:w="2160"/>
            <w:shd w:val="clear" w:color="auto" w:fill="1E3A8A"/>
          </w:tcPr>
          <w:p>
            <w:pPr>
              <w:jc w:val="center"/>
            </w:pPr>
            <w:r>
              <w:rPr>
                <w:rFonts w:ascii="Times New Roman" w:hAnsi="Times New Roman"/>
                <w:b/>
                <w:color w:val="FFFFFF"/>
                <w:sz w:val="19"/>
              </w:rPr>
              <w:t>Subscribers (N)</w:t>
            </w:r>
          </w:p>
        </w:tc>
        <w:tc>
          <w:tcPr>
            <w:tcW w:type="dxa" w:w="2880"/>
            <w:shd w:val="clear" w:color="auto" w:fill="1E3A8A"/>
          </w:tcPr>
          <w:p>
            <w:pPr>
              <w:jc w:val="center"/>
            </w:pPr>
            <w:r>
              <w:rPr>
                <w:rFonts w:ascii="Times New Roman" w:hAnsi="Times New Roman"/>
                <w:b/>
                <w:color w:val="FFFFFF"/>
                <w:sz w:val="19"/>
              </w:rPr>
              <w:t>Class Balance (Loyal / Churn)</w:t>
            </w:r>
          </w:p>
        </w:tc>
      </w:tr>
      <w:tr>
        <w:trPr>
          <w:cantSplit/>
        </w:trPr>
        <w:tc>
          <w:tcPr>
            <w:tcW w:type="dxa" w:w="2880"/>
            <w:shd w:val="clear" w:color="auto" w:fill="F8FAFC"/>
          </w:tcPr>
          <w:p>
            <w:r>
              <w:rPr>
                <w:rFonts w:ascii="Times New Roman" w:hAnsi="Times New Roman"/>
                <w:sz w:val="18"/>
              </w:rPr>
              <w:t>Training Cohort</w:t>
            </w:r>
          </w:p>
        </w:tc>
        <w:tc>
          <w:tcPr>
            <w:tcW w:type="dxa" w:w="2160"/>
            <w:shd w:val="clear" w:color="auto" w:fill="F8FAFC"/>
          </w:tcPr>
          <w:p>
            <w:r>
              <w:rPr>
                <w:rFonts w:ascii="Times New Roman" w:hAnsi="Times New Roman"/>
                <w:sz w:val="18"/>
              </w:rPr>
              <w:t>80.0% Stratified</w:t>
            </w:r>
          </w:p>
        </w:tc>
        <w:tc>
          <w:tcPr>
            <w:tcW w:type="dxa" w:w="2160"/>
            <w:shd w:val="clear" w:color="auto" w:fill="F8FAFC"/>
          </w:tcPr>
          <w:p>
            <w:r>
              <w:rPr>
                <w:rFonts w:ascii="Times New Roman" w:hAnsi="Times New Roman"/>
                <w:sz w:val="18"/>
              </w:rPr>
              <w:t>6,400</w:t>
            </w:r>
          </w:p>
        </w:tc>
        <w:tc>
          <w:tcPr>
            <w:tcW w:type="dxa" w:w="2880"/>
            <w:shd w:val="clear" w:color="auto" w:fill="F8FAFC"/>
          </w:tcPr>
          <w:p>
            <w:r>
              <w:rPr>
                <w:rFonts w:ascii="Times New Roman" w:hAnsi="Times New Roman"/>
                <w:sz w:val="18"/>
              </w:rPr>
              <w:t>3,200 (50.0%) / 3,200 (50.0%)</w:t>
            </w:r>
          </w:p>
        </w:tc>
      </w:tr>
      <w:tr>
        <w:trPr>
          <w:cantSplit/>
        </w:trPr>
        <w:tc>
          <w:tcPr>
            <w:tcW w:type="dxa" w:w="2880"/>
            <w:shd w:val="clear" w:color="auto" w:fill="FFFFFF"/>
          </w:tcPr>
          <w:p>
            <w:r>
              <w:rPr>
                <w:rFonts w:ascii="Times New Roman" w:hAnsi="Times New Roman"/>
                <w:sz w:val="18"/>
              </w:rPr>
              <w:t>Held-Out Test Cohort</w:t>
            </w:r>
          </w:p>
        </w:tc>
        <w:tc>
          <w:tcPr>
            <w:tcW w:type="dxa" w:w="2160"/>
            <w:shd w:val="clear" w:color="auto" w:fill="FFFFFF"/>
          </w:tcPr>
          <w:p>
            <w:r>
              <w:rPr>
                <w:rFonts w:ascii="Times New Roman" w:hAnsi="Times New Roman"/>
                <w:sz w:val="18"/>
              </w:rPr>
              <w:t>20.0% Stratified</w:t>
            </w:r>
          </w:p>
        </w:tc>
        <w:tc>
          <w:tcPr>
            <w:tcW w:type="dxa" w:w="2160"/>
            <w:shd w:val="clear" w:color="auto" w:fill="FFFFFF"/>
          </w:tcPr>
          <w:p>
            <w:r>
              <w:rPr>
                <w:rFonts w:ascii="Times New Roman" w:hAnsi="Times New Roman"/>
                <w:sz w:val="18"/>
              </w:rPr>
              <w:t>1,600</w:t>
            </w:r>
          </w:p>
        </w:tc>
        <w:tc>
          <w:tcPr>
            <w:tcW w:type="dxa" w:w="2880"/>
            <w:shd w:val="clear" w:color="auto" w:fill="FFFFFF"/>
          </w:tcPr>
          <w:p>
            <w:r>
              <w:rPr>
                <w:rFonts w:ascii="Times New Roman" w:hAnsi="Times New Roman"/>
                <w:sz w:val="18"/>
              </w:rPr>
              <w:t>800 (50.0%) / 800 (50.0%)</w:t>
            </w:r>
          </w:p>
        </w:tc>
      </w:tr>
      <w:tr>
        <w:trPr>
          <w:cantSplit/>
        </w:trPr>
        <w:tc>
          <w:tcPr>
            <w:tcW w:type="dxa" w:w="2880"/>
            <w:shd w:val="clear" w:color="auto" w:fill="F8FAFC"/>
          </w:tcPr>
          <w:p>
            <w:r>
              <w:rPr>
                <w:rFonts w:ascii="Times New Roman" w:hAnsi="Times New Roman"/>
                <w:sz w:val="18"/>
              </w:rPr>
              <w:t>Total Benchmark Cohort</w:t>
            </w:r>
          </w:p>
        </w:tc>
        <w:tc>
          <w:tcPr>
            <w:tcW w:type="dxa" w:w="2160"/>
            <w:shd w:val="clear" w:color="auto" w:fill="F8FAFC"/>
          </w:tcPr>
          <w:p>
            <w:r>
              <w:rPr>
                <w:rFonts w:ascii="Times New Roman" w:hAnsi="Times New Roman"/>
                <w:sz w:val="18"/>
              </w:rPr>
              <w:t>100.0%</w:t>
            </w:r>
          </w:p>
        </w:tc>
        <w:tc>
          <w:tcPr>
            <w:tcW w:type="dxa" w:w="2160"/>
            <w:shd w:val="clear" w:color="auto" w:fill="F8FAFC"/>
          </w:tcPr>
          <w:p>
            <w:r>
              <w:rPr>
                <w:rFonts w:ascii="Times New Roman" w:hAnsi="Times New Roman"/>
                <w:sz w:val="18"/>
              </w:rPr>
              <w:t>8,000</w:t>
            </w:r>
          </w:p>
        </w:tc>
        <w:tc>
          <w:tcPr>
            <w:tcW w:type="dxa" w:w="2880"/>
            <w:shd w:val="clear" w:color="auto" w:fill="F8FAFC"/>
          </w:tcPr>
          <w:p>
            <w:r>
              <w:rPr>
                <w:rFonts w:ascii="Times New Roman" w:hAnsi="Times New Roman"/>
                <w:sz w:val="18"/>
              </w:rPr>
              <w:t>4,000 (50.0%) / 4,000 (50.0%)</w:t>
            </w:r>
          </w:p>
        </w:tc>
      </w:tr>
      <w:tr>
        <w:trPr>
          <w:cantSplit/>
        </w:trPr>
        <w:tc>
          <w:tcPr>
            <w:tcW w:type="dxa" w:w="2880"/>
            <w:shd w:val="clear" w:color="auto" w:fill="FFFFFF"/>
          </w:tcPr>
          <w:p>
            <w:r>
              <w:rPr>
                <w:rFonts w:ascii="Times New Roman" w:hAnsi="Times New Roman"/>
                <w:sz w:val="18"/>
              </w:rPr>
              <w:t>Historical Public Dataset (Epoch 1)</w:t>
            </w:r>
          </w:p>
        </w:tc>
        <w:tc>
          <w:tcPr>
            <w:tcW w:type="dxa" w:w="2160"/>
            <w:shd w:val="clear" w:color="auto" w:fill="FFFFFF"/>
          </w:tcPr>
          <w:p>
            <w:r>
              <w:rPr>
                <w:rFonts w:ascii="Times New Roman" w:hAnsi="Times New Roman"/>
                <w:sz w:val="18"/>
              </w:rPr>
              <w:t>80/20 Raw Split</w:t>
            </w:r>
          </w:p>
        </w:tc>
        <w:tc>
          <w:tcPr>
            <w:tcW w:type="dxa" w:w="2160"/>
            <w:shd w:val="clear" w:color="auto" w:fill="FFFFFF"/>
          </w:tcPr>
          <w:p>
            <w:r>
              <w:rPr>
                <w:rFonts w:ascii="Times New Roman" w:hAnsi="Times New Roman"/>
                <w:sz w:val="18"/>
              </w:rPr>
              <w:t>7,043 total (1,409 test)</w:t>
            </w:r>
          </w:p>
        </w:tc>
        <w:tc>
          <w:tcPr>
            <w:tcW w:type="dxa" w:w="2880"/>
            <w:shd w:val="clear" w:color="auto" w:fill="FFFFFF"/>
          </w:tcPr>
          <w:p>
            <w:r>
              <w:rPr>
                <w:rFonts w:ascii="Times New Roman" w:hAnsi="Times New Roman"/>
                <w:sz w:val="18"/>
              </w:rPr>
              <w:t>5,174 Loyal (73.5%) / 1,869 Churn (26.5%)</w:t>
            </w:r>
          </w:p>
        </w:tc>
      </w:tr>
    </w:tbl>
    <w:p>
      <w:pPr>
        <w:spacing w:after="100" w:line="276" w:lineRule="auto"/>
        <w:jc w:val="both"/>
      </w:pPr>
      <w:r>
        <w:rPr>
          <w:rFonts w:ascii="Times New Roman" w:hAnsi="Times New Roman"/>
          <w:b w:val="0"/>
          <w:i w:val="0"/>
          <w:sz w:val="21"/>
        </w:rPr>
        <w:t>A necessary distinction must be noted regarding the historical 1,409-record benchmark. The original unaugmented IBM Telco dataset (WA_Fn-UseC_-Telco-Customer-Churn.csv) contains 7,043 rows, yielding an 80/20 test split of 1,409 records. While class balancing eliminates majority-class classifier bias and stabilizes decision boundaries for tree ensembles, it artificially elevates posterior probability distributions. Consequently, precision scores obtained on the balanced benchmark (95.7%) represent discriminative capacity under balanced conditions; in wild deployment exhibiting 5%-10% natural churn prevalence, Bayesian prior probability adjustments should be applied.</w:t>
      </w:r>
    </w:p>
    <w:p>
      <w:pPr>
        <w:keepNext/>
        <w:spacing w:before="280" w:after="120"/>
      </w:pPr>
      <w:r>
        <w:rPr>
          <w:rFonts w:ascii="Times New Roman" w:hAnsi="Times New Roman"/>
          <w:b/>
          <w:color w:val="111827"/>
          <w:sz w:val="26"/>
        </w:rPr>
        <w:t>5. MODEL METHODOLOGY &amp; MATHEMATICAL FORMULATION</w:t>
      </w:r>
    </w:p>
    <w:p>
      <w:pPr>
        <w:spacing w:after="100" w:line="276" w:lineRule="auto"/>
        <w:jc w:val="both"/>
      </w:pPr>
      <w:r>
        <w:rPr>
          <w:rFonts w:ascii="Times New Roman" w:hAnsi="Times New Roman"/>
          <w:b w:val="0"/>
          <w:i w:val="0"/>
          <w:sz w:val="21"/>
        </w:rPr>
        <w:t>Four machine learning architectures are systematically implemented, tuned, and evaluated under identical training and testing constraints.</w:t>
      </w:r>
    </w:p>
    <w:p>
      <w:pPr>
        <w:keepNext/>
        <w:spacing w:before="200" w:after="80"/>
      </w:pPr>
      <w:r>
        <w:rPr>
          <w:rFonts w:ascii="Times New Roman" w:hAnsi="Times New Roman"/>
          <w:b/>
          <w:color w:val="1F2937"/>
          <w:sz w:val="23"/>
        </w:rPr>
        <w:t>5.1 Random Forest (Bagging Trees)</w:t>
      </w:r>
    </w:p>
    <w:p>
      <w:pPr>
        <w:spacing w:after="100" w:line="276" w:lineRule="auto"/>
        <w:jc w:val="both"/>
      </w:pPr>
      <w:r>
        <w:rPr>
          <w:rFonts w:ascii="Times New Roman" w:hAnsi="Times New Roman"/>
          <w:b w:val="0"/>
          <w:i w:val="0"/>
          <w:sz w:val="21"/>
        </w:rPr>
        <w:t>Random Forest constructs an ensemble of B = 200 randomized decision trees. At each split node, a random subset of m &lt;= sqrt(D) predictors is evaluated. Predictions represent the unweighted average of individual tree probabilities: P_RF(y = 1 | x) = (1/B) * sum(p_b(y = 1 | x)). Hyperparameters: n_estimators=200, max_depth=12, min_samples_split=5, class_weight='balanced', random_state=42.</w:t>
      </w:r>
    </w:p>
    <w:p>
      <w:pPr>
        <w:keepNext/>
        <w:spacing w:before="200" w:after="80"/>
      </w:pPr>
      <w:r>
        <w:rPr>
          <w:rFonts w:ascii="Times New Roman" w:hAnsi="Times New Roman"/>
          <w:b/>
          <w:color w:val="1F2937"/>
          <w:sz w:val="23"/>
        </w:rPr>
        <w:t>5.2 XGBoost (Extreme Gradient Boosting)</w:t>
      </w:r>
    </w:p>
    <w:p>
      <w:pPr>
        <w:spacing w:after="100" w:line="276" w:lineRule="auto"/>
        <w:jc w:val="both"/>
      </w:pPr>
      <w:r>
        <w:rPr>
          <w:rFonts w:ascii="Times New Roman" w:hAnsi="Times New Roman"/>
          <w:b w:val="0"/>
          <w:i w:val="0"/>
          <w:sz w:val="21"/>
        </w:rPr>
        <w:t>XGBoost minimizes a regularized objective function combining log-loss with tree structural complexity: L = sum(l(y_i, y_hat_i)) + gamma*T + 0.5*lambda*sum(w_j^2). Second-order Taylor expansions optimize tree split gain. Hyperparameters: n_estimators=250, max_depth=5, learning_rate=0.05, subsample=0.8, colsample_bytree=0.8, reg_alpha=0.1, reg_lambda=1.0, random_state=42.</w:t>
      </w:r>
    </w:p>
    <w:p>
      <w:pPr>
        <w:keepNext/>
        <w:spacing w:before="200" w:after="80"/>
      </w:pPr>
      <w:r>
        <w:rPr>
          <w:rFonts w:ascii="Times New Roman" w:hAnsi="Times New Roman"/>
          <w:b/>
          <w:color w:val="1F2937"/>
          <w:sz w:val="23"/>
        </w:rPr>
        <w:t>5.3 LightGBM (Leaf-Wise Gradient Boosting)</w:t>
      </w:r>
    </w:p>
    <w:p>
      <w:pPr>
        <w:spacing w:after="100" w:line="276" w:lineRule="auto"/>
        <w:jc w:val="both"/>
      </w:pPr>
      <w:r>
        <w:rPr>
          <w:rFonts w:ascii="Times New Roman" w:hAnsi="Times New Roman"/>
          <w:b w:val="0"/>
          <w:i w:val="0"/>
          <w:sz w:val="21"/>
        </w:rPr>
        <w:t>LightGBM employs leaf-wise (best-first) tree growth rather than traditional level-wise expansion, splitting the leaf with the maximum delta loss. Hyperparameters: n_estimators=250, max_depth=6, num_leaves=31, learning_rate=0.04, subsample=0.85, colsample_bytree=0.8, random_state=42.</w:t>
      </w:r>
    </w:p>
    <w:p>
      <w:pPr>
        <w:keepNext/>
        <w:spacing w:before="200" w:after="80"/>
      </w:pPr>
      <w:r>
        <w:rPr>
          <w:rFonts w:ascii="Times New Roman" w:hAnsi="Times New Roman"/>
          <w:b/>
          <w:color w:val="1F2937"/>
          <w:sz w:val="23"/>
        </w:rPr>
        <w:t>5.4 Stacking Ensemble Meta-Learner</w:t>
      </w:r>
    </w:p>
    <w:p>
      <w:pPr>
        <w:spacing w:after="100" w:line="276" w:lineRule="auto"/>
        <w:jc w:val="both"/>
      </w:pPr>
      <w:r>
        <w:rPr>
          <w:rFonts w:ascii="Times New Roman" w:hAnsi="Times New Roman"/>
          <w:b w:val="0"/>
          <w:i w:val="0"/>
          <w:sz w:val="21"/>
        </w:rPr>
        <w:t>The proposed Stacking Ensemble coordinates base classifiers through a two-level hierarchy. To prevent target leakage, base model probability outputs are generated using 5-Fold Stratified Out-of-Fold (OOF) cross-validation across the 6,400 training instances. The Level-1 meta-learner is an L2-regularized Logistic Regression model: P_ens(y = 1 | x) = sigma(w0 + w_RF*P_RF(x) + w_XGB*P_XGB(x) + w_LGBM*P_LGBM(x)), where sigma(z) = 1 / (1 + exp(-z)). The learned parameter weights are w_RF = 0.842, w_XGB = 1.285, w_LGBM = 1.114, and intercept w0 = -1.642.</w:t>
      </w:r>
    </w:p>
    <w:p>
      <w:pPr>
        <w:keepNext/>
        <w:spacing w:before="200" w:after="80"/>
      </w:pPr>
      <w:r>
        <w:rPr>
          <w:rFonts w:ascii="Times New Roman" w:hAnsi="Times New Roman"/>
          <w:b/>
          <w:color w:val="1F2937"/>
          <w:sz w:val="23"/>
        </w:rPr>
        <w:t>5.5 Evaluation Metrics &amp; Formulations</w:t>
      </w:r>
    </w:p>
    <w:p>
      <w:pPr>
        <w:spacing w:after="100" w:line="276" w:lineRule="auto"/>
        <w:jc w:val="both"/>
      </w:pPr>
      <w:r>
        <w:rPr>
          <w:rFonts w:ascii="Times New Roman" w:hAnsi="Times New Roman"/>
          <w:b w:val="0"/>
          <w:i w:val="0"/>
          <w:sz w:val="21"/>
        </w:rPr>
        <w:t>Recall = TP / (TP + FN)  [Measures true churner capture - primary operational metric]</w:t>
      </w:r>
    </w:p>
    <w:p>
      <w:pPr>
        <w:spacing w:after="100" w:line="276" w:lineRule="auto"/>
        <w:jc w:val="both"/>
      </w:pPr>
      <w:r>
        <w:rPr>
          <w:rFonts w:ascii="Times New Roman" w:hAnsi="Times New Roman"/>
          <w:b w:val="0"/>
          <w:i w:val="0"/>
          <w:sz w:val="21"/>
        </w:rPr>
        <w:t>Precision = TP / (TP + FP)  [Measures accuracy of outreach targeting]</w:t>
      </w:r>
    </w:p>
    <w:p>
      <w:pPr>
        <w:spacing w:after="100" w:line="276" w:lineRule="auto"/>
        <w:jc w:val="both"/>
      </w:pPr>
      <w:r>
        <w:rPr>
          <w:rFonts w:ascii="Times New Roman" w:hAnsi="Times New Roman"/>
          <w:b w:val="0"/>
          <w:i w:val="0"/>
          <w:sz w:val="21"/>
        </w:rPr>
        <w:t>Accuracy = (TP + TN) / (TP + TN + FP + FN)</w:t>
      </w:r>
    </w:p>
    <w:p>
      <w:pPr>
        <w:spacing w:after="100" w:line="276" w:lineRule="auto"/>
        <w:jc w:val="both"/>
      </w:pPr>
      <w:r>
        <w:rPr>
          <w:rFonts w:ascii="Times New Roman" w:hAnsi="Times New Roman"/>
          <w:b w:val="0"/>
          <w:i w:val="0"/>
          <w:sz w:val="21"/>
        </w:rPr>
        <w:t>F1-Score = 2 * (Precision * Recall) / (Precision + Recall)</w:t>
      </w:r>
    </w:p>
    <w:p>
      <w:pPr>
        <w:spacing w:after="100" w:line="276" w:lineRule="auto"/>
        <w:jc w:val="both"/>
      </w:pPr>
      <w:r>
        <w:rPr>
          <w:rFonts w:ascii="Times New Roman" w:hAnsi="Times New Roman"/>
          <w:b w:val="0"/>
          <w:i w:val="0"/>
          <w:sz w:val="21"/>
        </w:rPr>
        <w:t>Brier Score = (1/N) * sum((P_i - y_i)^2)  [Measures probabilistic calibration error; lower is better]</w:t>
      </w:r>
    </w:p>
    <w:p>
      <w:pPr>
        <w:keepNext/>
        <w:spacing w:before="280" w:after="120"/>
      </w:pPr>
      <w:r>
        <w:rPr>
          <w:rFonts w:ascii="Times New Roman" w:hAnsi="Times New Roman"/>
          <w:b/>
          <w:color w:val="111827"/>
          <w:sz w:val="26"/>
        </w:rPr>
        <w:t>6. EXPERIMENTAL RESULTS &amp; COMPARATIVE BENCHMARK</w:t>
      </w:r>
    </w:p>
    <w:p>
      <w:pPr>
        <w:spacing w:after="100" w:line="276" w:lineRule="auto"/>
        <w:jc w:val="both"/>
      </w:pPr>
      <w:r>
        <w:rPr>
          <w:rFonts w:ascii="Times New Roman" w:hAnsi="Times New Roman"/>
          <w:b w:val="0"/>
          <w:i w:val="0"/>
          <w:sz w:val="21"/>
        </w:rPr>
        <w:t>The four machine learning architectures were comprehensively evaluated on the sealed held-out test cohort (N = 1,600). Table 6.1 details the empirical results.</w:t>
      </w:r>
    </w:p>
    <w:p>
      <w:pPr>
        <w:spacing w:after="100" w:line="276" w:lineRule="auto"/>
        <w:jc w:val="center"/>
      </w:pPr>
      <w:r>
        <w:rPr>
          <w:rFonts w:ascii="Times New Roman" w:hAnsi="Times New Roman"/>
          <w:b/>
          <w:i w:val="0"/>
          <w:sz w:val="21"/>
        </w:rPr>
        <w:t>TABLE 6.1: COMPARATIVE PERFORMANCE ON HELD-OUT TEST COHORT (N = 1,600)</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rPr>
          <w:cantSplit/>
          <w:tblHeader/>
        </w:trPr>
        <w:tc>
          <w:tcPr>
            <w:tcW w:type="dxa" w:w="2304"/>
            <w:shd w:val="clear" w:color="auto" w:fill="1E3A8A"/>
          </w:tcPr>
          <w:p>
            <w:pPr>
              <w:jc w:val="center"/>
            </w:pPr>
            <w:r>
              <w:rPr>
                <w:rFonts w:ascii="Times New Roman" w:hAnsi="Times New Roman"/>
                <w:b/>
                <w:color w:val="FFFFFF"/>
                <w:sz w:val="19"/>
              </w:rPr>
              <w:t>Model Architecture</w:t>
            </w:r>
          </w:p>
        </w:tc>
        <w:tc>
          <w:tcPr>
            <w:tcW w:type="dxa" w:w="1296"/>
            <w:shd w:val="clear" w:color="auto" w:fill="1E3A8A"/>
          </w:tcPr>
          <w:p>
            <w:pPr>
              <w:jc w:val="center"/>
            </w:pPr>
            <w:r>
              <w:rPr>
                <w:rFonts w:ascii="Times New Roman" w:hAnsi="Times New Roman"/>
                <w:b/>
                <w:color w:val="FFFFFF"/>
                <w:sz w:val="19"/>
              </w:rPr>
              <w:t>Recall (%)</w:t>
            </w:r>
          </w:p>
        </w:tc>
        <w:tc>
          <w:tcPr>
            <w:tcW w:type="dxa" w:w="1296"/>
            <w:shd w:val="clear" w:color="auto" w:fill="1E3A8A"/>
          </w:tcPr>
          <w:p>
            <w:pPr>
              <w:jc w:val="center"/>
            </w:pPr>
            <w:r>
              <w:rPr>
                <w:rFonts w:ascii="Times New Roman" w:hAnsi="Times New Roman"/>
                <w:b/>
                <w:color w:val="FFFFFF"/>
                <w:sz w:val="19"/>
              </w:rPr>
              <w:t>F1-Score (%)</w:t>
            </w:r>
          </w:p>
        </w:tc>
        <w:tc>
          <w:tcPr>
            <w:tcW w:type="dxa" w:w="1296"/>
            <w:shd w:val="clear" w:color="auto" w:fill="1E3A8A"/>
          </w:tcPr>
          <w:p>
            <w:pPr>
              <w:jc w:val="center"/>
            </w:pPr>
            <w:r>
              <w:rPr>
                <w:rFonts w:ascii="Times New Roman" w:hAnsi="Times New Roman"/>
                <w:b/>
                <w:color w:val="FFFFFF"/>
                <w:sz w:val="19"/>
              </w:rPr>
              <w:t>Accuracy (%)</w:t>
            </w:r>
          </w:p>
        </w:tc>
        <w:tc>
          <w:tcPr>
            <w:tcW w:type="dxa" w:w="1296"/>
            <w:shd w:val="clear" w:color="auto" w:fill="1E3A8A"/>
          </w:tcPr>
          <w:p>
            <w:pPr>
              <w:jc w:val="center"/>
            </w:pPr>
            <w:r>
              <w:rPr>
                <w:rFonts w:ascii="Times New Roman" w:hAnsi="Times New Roman"/>
                <w:b/>
                <w:color w:val="FFFFFF"/>
                <w:sz w:val="19"/>
              </w:rPr>
              <w:t>Precision (%)</w:t>
            </w:r>
          </w:p>
        </w:tc>
        <w:tc>
          <w:tcPr>
            <w:tcW w:type="dxa" w:w="1728"/>
            <w:shd w:val="clear" w:color="auto" w:fill="1E3A8A"/>
          </w:tcPr>
          <w:p>
            <w:pPr>
              <w:jc w:val="center"/>
            </w:pPr>
            <w:r>
              <w:rPr>
                <w:rFonts w:ascii="Times New Roman" w:hAnsi="Times New Roman"/>
                <w:b/>
                <w:color w:val="FFFFFF"/>
                <w:sz w:val="19"/>
              </w:rPr>
              <w:t>ROC-AUC (%)</w:t>
            </w:r>
          </w:p>
        </w:tc>
        <w:tc>
          <w:tcPr>
            <w:tcW w:type="dxa" w:w="1296"/>
            <w:shd w:val="clear" w:color="auto" w:fill="1E3A8A"/>
          </w:tcPr>
          <w:p>
            <w:pPr>
              <w:jc w:val="center"/>
            </w:pPr>
            <w:r>
              <w:rPr>
                <w:rFonts w:ascii="Times New Roman" w:hAnsi="Times New Roman"/>
                <w:b/>
                <w:color w:val="FFFFFF"/>
                <w:sz w:val="19"/>
              </w:rPr>
              <w:t>Brier Score (↓)</w:t>
            </w:r>
          </w:p>
        </w:tc>
      </w:tr>
      <w:tr>
        <w:trPr>
          <w:cantSplit/>
        </w:trPr>
        <w:tc>
          <w:tcPr>
            <w:tcW w:type="dxa" w:w="2304"/>
            <w:shd w:val="clear" w:color="auto" w:fill="F8FAFC"/>
          </w:tcPr>
          <w:p>
            <w:r>
              <w:rPr>
                <w:rFonts w:ascii="Times New Roman" w:hAnsi="Times New Roman"/>
                <w:sz w:val="18"/>
              </w:rPr>
              <w:t>Random Forest (RF)</w:t>
            </w:r>
          </w:p>
        </w:tc>
        <w:tc>
          <w:tcPr>
            <w:tcW w:type="dxa" w:w="1296"/>
            <w:shd w:val="clear" w:color="auto" w:fill="F8FAFC"/>
          </w:tcPr>
          <w:p>
            <w:r>
              <w:rPr>
                <w:rFonts w:ascii="Times New Roman" w:hAnsi="Times New Roman"/>
                <w:sz w:val="18"/>
              </w:rPr>
              <w:t>95.0%</w:t>
            </w:r>
          </w:p>
        </w:tc>
        <w:tc>
          <w:tcPr>
            <w:tcW w:type="dxa" w:w="1296"/>
            <w:shd w:val="clear" w:color="auto" w:fill="F8FAFC"/>
          </w:tcPr>
          <w:p>
            <w:r>
              <w:rPr>
                <w:rFonts w:ascii="Times New Roman" w:hAnsi="Times New Roman"/>
                <w:sz w:val="18"/>
              </w:rPr>
              <w:t>95.5%</w:t>
            </w:r>
          </w:p>
        </w:tc>
        <w:tc>
          <w:tcPr>
            <w:tcW w:type="dxa" w:w="1296"/>
            <w:shd w:val="clear" w:color="auto" w:fill="F8FAFC"/>
          </w:tcPr>
          <w:p>
            <w:r>
              <w:rPr>
                <w:rFonts w:ascii="Times New Roman" w:hAnsi="Times New Roman"/>
                <w:sz w:val="18"/>
              </w:rPr>
              <w:t>95.5%</w:t>
            </w:r>
          </w:p>
        </w:tc>
        <w:tc>
          <w:tcPr>
            <w:tcW w:type="dxa" w:w="1296"/>
            <w:shd w:val="clear" w:color="auto" w:fill="F8FAFC"/>
          </w:tcPr>
          <w:p>
            <w:r>
              <w:rPr>
                <w:rFonts w:ascii="Times New Roman" w:hAnsi="Times New Roman"/>
                <w:sz w:val="18"/>
              </w:rPr>
              <w:t>96.0%</w:t>
            </w:r>
          </w:p>
        </w:tc>
        <w:tc>
          <w:tcPr>
            <w:tcW w:type="dxa" w:w="1728"/>
            <w:shd w:val="clear" w:color="auto" w:fill="F8FAFC"/>
          </w:tcPr>
          <w:p>
            <w:r>
              <w:rPr>
                <w:rFonts w:ascii="Times New Roman" w:hAnsi="Times New Roman"/>
                <w:sz w:val="18"/>
              </w:rPr>
              <w:t>98.7% (0.986872)</w:t>
            </w:r>
          </w:p>
        </w:tc>
        <w:tc>
          <w:tcPr>
            <w:tcW w:type="dxa" w:w="1296"/>
            <w:shd w:val="clear" w:color="auto" w:fill="F8FAFC"/>
          </w:tcPr>
          <w:p>
            <w:r>
              <w:rPr>
                <w:rFonts w:ascii="Times New Roman" w:hAnsi="Times New Roman"/>
                <w:sz w:val="18"/>
              </w:rPr>
              <w:t>0.0369</w:t>
            </w:r>
          </w:p>
        </w:tc>
      </w:tr>
      <w:tr>
        <w:trPr>
          <w:cantSplit/>
        </w:trPr>
        <w:tc>
          <w:tcPr>
            <w:tcW w:type="dxa" w:w="2304"/>
            <w:shd w:val="clear" w:color="auto" w:fill="FFFFFF"/>
          </w:tcPr>
          <w:p>
            <w:r>
              <w:rPr>
                <w:rFonts w:ascii="Times New Roman" w:hAnsi="Times New Roman"/>
                <w:sz w:val="18"/>
              </w:rPr>
              <w:t>XGBoost (XGB)</w:t>
            </w:r>
          </w:p>
        </w:tc>
        <w:tc>
          <w:tcPr>
            <w:tcW w:type="dxa" w:w="1296"/>
            <w:shd w:val="clear" w:color="auto" w:fill="FFFFFF"/>
          </w:tcPr>
          <w:p>
            <w:r>
              <w:rPr>
                <w:rFonts w:ascii="Times New Roman" w:hAnsi="Times New Roman"/>
                <w:sz w:val="18"/>
              </w:rPr>
              <w:t>94.5%</w:t>
            </w:r>
          </w:p>
        </w:tc>
        <w:tc>
          <w:tcPr>
            <w:tcW w:type="dxa" w:w="1296"/>
            <w:shd w:val="clear" w:color="auto" w:fill="FFFFFF"/>
          </w:tcPr>
          <w:p>
            <w:r>
              <w:rPr>
                <w:rFonts w:ascii="Times New Roman" w:hAnsi="Times New Roman"/>
                <w:sz w:val="18"/>
              </w:rPr>
              <w:t>95.2%</w:t>
            </w:r>
          </w:p>
        </w:tc>
        <w:tc>
          <w:tcPr>
            <w:tcW w:type="dxa" w:w="1296"/>
            <w:shd w:val="clear" w:color="auto" w:fill="FFFFFF"/>
          </w:tcPr>
          <w:p>
            <w:r>
              <w:rPr>
                <w:rFonts w:ascii="Times New Roman" w:hAnsi="Times New Roman"/>
                <w:sz w:val="18"/>
              </w:rPr>
              <w:t>95.2%</w:t>
            </w:r>
          </w:p>
        </w:tc>
        <w:tc>
          <w:tcPr>
            <w:tcW w:type="dxa" w:w="1296"/>
            <w:shd w:val="clear" w:color="auto" w:fill="FFFFFF"/>
          </w:tcPr>
          <w:p>
            <w:r>
              <w:rPr>
                <w:rFonts w:ascii="Times New Roman" w:hAnsi="Times New Roman"/>
                <w:sz w:val="18"/>
              </w:rPr>
              <w:t>95.8%</w:t>
            </w:r>
          </w:p>
        </w:tc>
        <w:tc>
          <w:tcPr>
            <w:tcW w:type="dxa" w:w="1728"/>
            <w:shd w:val="clear" w:color="auto" w:fill="FFFFFF"/>
          </w:tcPr>
          <w:p>
            <w:r>
              <w:rPr>
                <w:rFonts w:ascii="Times New Roman" w:hAnsi="Times New Roman"/>
                <w:sz w:val="18"/>
              </w:rPr>
              <w:t>99.0% (0.990063)</w:t>
            </w:r>
          </w:p>
        </w:tc>
        <w:tc>
          <w:tcPr>
            <w:tcW w:type="dxa" w:w="1296"/>
            <w:shd w:val="clear" w:color="auto" w:fill="FFFFFF"/>
          </w:tcPr>
          <w:p>
            <w:r>
              <w:rPr>
                <w:rFonts w:ascii="Times New Roman" w:hAnsi="Times New Roman"/>
                <w:sz w:val="18"/>
              </w:rPr>
              <w:t>0.0347</w:t>
            </w:r>
          </w:p>
        </w:tc>
      </w:tr>
      <w:tr>
        <w:trPr>
          <w:cantSplit/>
        </w:trPr>
        <w:tc>
          <w:tcPr>
            <w:tcW w:type="dxa" w:w="2304"/>
            <w:shd w:val="clear" w:color="auto" w:fill="F8FAFC"/>
          </w:tcPr>
          <w:p>
            <w:r>
              <w:rPr>
                <w:rFonts w:ascii="Times New Roman" w:hAnsi="Times New Roman"/>
                <w:sz w:val="18"/>
              </w:rPr>
              <w:t>LightGBM (LGBM)</w:t>
            </w:r>
          </w:p>
        </w:tc>
        <w:tc>
          <w:tcPr>
            <w:tcW w:type="dxa" w:w="1296"/>
            <w:shd w:val="clear" w:color="auto" w:fill="F8FAFC"/>
          </w:tcPr>
          <w:p>
            <w:r>
              <w:rPr>
                <w:rFonts w:ascii="Times New Roman" w:hAnsi="Times New Roman"/>
                <w:sz w:val="18"/>
              </w:rPr>
              <w:t>95.1%</w:t>
            </w:r>
          </w:p>
        </w:tc>
        <w:tc>
          <w:tcPr>
            <w:tcW w:type="dxa" w:w="1296"/>
            <w:shd w:val="clear" w:color="auto" w:fill="F8FAFC"/>
          </w:tcPr>
          <w:p>
            <w:r>
              <w:rPr>
                <w:rFonts w:ascii="Times New Roman" w:hAnsi="Times New Roman"/>
                <w:sz w:val="18"/>
              </w:rPr>
              <w:t>95.4%</w:t>
            </w:r>
          </w:p>
        </w:tc>
        <w:tc>
          <w:tcPr>
            <w:tcW w:type="dxa" w:w="1296"/>
            <w:shd w:val="clear" w:color="auto" w:fill="F8FAFC"/>
          </w:tcPr>
          <w:p>
            <w:r>
              <w:rPr>
                <w:rFonts w:ascii="Times New Roman" w:hAnsi="Times New Roman"/>
                <w:sz w:val="18"/>
              </w:rPr>
              <w:t>95.4%</w:t>
            </w:r>
          </w:p>
        </w:tc>
        <w:tc>
          <w:tcPr>
            <w:tcW w:type="dxa" w:w="1296"/>
            <w:shd w:val="clear" w:color="auto" w:fill="F8FAFC"/>
          </w:tcPr>
          <w:p>
            <w:r>
              <w:rPr>
                <w:rFonts w:ascii="Times New Roman" w:hAnsi="Times New Roman"/>
                <w:sz w:val="18"/>
              </w:rPr>
              <w:t>95.6%</w:t>
            </w:r>
          </w:p>
        </w:tc>
        <w:tc>
          <w:tcPr>
            <w:tcW w:type="dxa" w:w="1728"/>
            <w:shd w:val="clear" w:color="auto" w:fill="F8FAFC"/>
          </w:tcPr>
          <w:p>
            <w:r>
              <w:rPr>
                <w:rFonts w:ascii="Times New Roman" w:hAnsi="Times New Roman"/>
                <w:sz w:val="18"/>
              </w:rPr>
              <w:t>98.9% (0.989458)</w:t>
            </w:r>
          </w:p>
        </w:tc>
        <w:tc>
          <w:tcPr>
            <w:tcW w:type="dxa" w:w="1296"/>
            <w:shd w:val="clear" w:color="auto" w:fill="F8FAFC"/>
          </w:tcPr>
          <w:p>
            <w:r>
              <w:rPr>
                <w:rFonts w:ascii="Times New Roman" w:hAnsi="Times New Roman"/>
                <w:sz w:val="18"/>
              </w:rPr>
              <w:t>0.0353</w:t>
            </w:r>
          </w:p>
        </w:tc>
      </w:tr>
      <w:tr>
        <w:trPr>
          <w:cantSplit/>
        </w:trPr>
        <w:tc>
          <w:tcPr>
            <w:tcW w:type="dxa" w:w="2304"/>
            <w:shd w:val="clear" w:color="auto" w:fill="FFFFFF"/>
          </w:tcPr>
          <w:p>
            <w:r>
              <w:rPr>
                <w:rFonts w:ascii="Times New Roman" w:hAnsi="Times New Roman"/>
                <w:sz w:val="18"/>
              </w:rPr>
              <w:t>Stacking Ensemble (Proposed)</w:t>
            </w:r>
          </w:p>
        </w:tc>
        <w:tc>
          <w:tcPr>
            <w:tcW w:type="dxa" w:w="1296"/>
            <w:shd w:val="clear" w:color="auto" w:fill="FFFFFF"/>
          </w:tcPr>
          <w:p>
            <w:r>
              <w:rPr>
                <w:rFonts w:ascii="Times New Roman" w:hAnsi="Times New Roman"/>
                <w:sz w:val="18"/>
              </w:rPr>
              <w:t>95.4%</w:t>
            </w:r>
          </w:p>
        </w:tc>
        <w:tc>
          <w:tcPr>
            <w:tcW w:type="dxa" w:w="1296"/>
            <w:shd w:val="clear" w:color="auto" w:fill="FFFFFF"/>
          </w:tcPr>
          <w:p>
            <w:r>
              <w:rPr>
                <w:rFonts w:ascii="Times New Roman" w:hAnsi="Times New Roman"/>
                <w:sz w:val="18"/>
              </w:rPr>
              <w:t>95.6%</w:t>
            </w:r>
          </w:p>
        </w:tc>
        <w:tc>
          <w:tcPr>
            <w:tcW w:type="dxa" w:w="1296"/>
            <w:shd w:val="clear" w:color="auto" w:fill="FFFFFF"/>
          </w:tcPr>
          <w:p>
            <w:r>
              <w:rPr>
                <w:rFonts w:ascii="Times New Roman" w:hAnsi="Times New Roman"/>
                <w:sz w:val="18"/>
              </w:rPr>
              <w:t>95.6%</w:t>
            </w:r>
          </w:p>
        </w:tc>
        <w:tc>
          <w:tcPr>
            <w:tcW w:type="dxa" w:w="1296"/>
            <w:shd w:val="clear" w:color="auto" w:fill="FFFFFF"/>
          </w:tcPr>
          <w:p>
            <w:r>
              <w:rPr>
                <w:rFonts w:ascii="Times New Roman" w:hAnsi="Times New Roman"/>
                <w:sz w:val="18"/>
              </w:rPr>
              <w:t>95.7%</w:t>
            </w:r>
          </w:p>
        </w:tc>
        <w:tc>
          <w:tcPr>
            <w:tcW w:type="dxa" w:w="1728"/>
            <w:shd w:val="clear" w:color="auto" w:fill="FFFFFF"/>
          </w:tcPr>
          <w:p>
            <w:r>
              <w:rPr>
                <w:rFonts w:ascii="Times New Roman" w:hAnsi="Times New Roman"/>
                <w:sz w:val="18"/>
              </w:rPr>
              <w:t>99.0% (0.989630)</w:t>
            </w:r>
          </w:p>
        </w:tc>
        <w:tc>
          <w:tcPr>
            <w:tcW w:type="dxa" w:w="1296"/>
            <w:shd w:val="clear" w:color="auto" w:fill="FFFFFF"/>
          </w:tcPr>
          <w:p>
            <w:r>
              <w:rPr>
                <w:rFonts w:ascii="Times New Roman" w:hAnsi="Times New Roman"/>
                <w:sz w:val="18"/>
              </w:rPr>
              <w:t>0.0346</w:t>
            </w:r>
          </w:p>
        </w:tc>
      </w:tr>
    </w:tbl>
    <w:p>
      <w:pPr>
        <w:spacing w:before="160" w:after="80"/>
        <w:jc w:val="center"/>
      </w:pPr>
      <w:r>
        <w:drawing>
          <wp:inline xmlns:a="http://schemas.openxmlformats.org/drawingml/2006/main" xmlns:pic="http://schemas.openxmlformats.org/drawingml/2006/picture">
            <wp:extent cx="5303520" cy="2919916"/>
            <wp:docPr id="2" name="Picture 2"/>
            <wp:cNvGraphicFramePr>
              <a:graphicFrameLocks noChangeAspect="1"/>
            </wp:cNvGraphicFramePr>
            <a:graphic>
              <a:graphicData uri="http://schemas.openxmlformats.org/drawingml/2006/picture">
                <pic:pic>
                  <pic:nvPicPr>
                    <pic:cNvPr id="0" name="fig3_model_performance_comparison.png"/>
                    <pic:cNvPicPr/>
                  </pic:nvPicPr>
                  <pic:blipFill>
                    <a:blip r:embed="rId10"/>
                    <a:stretch>
                      <a:fillRect/>
                    </a:stretch>
                  </pic:blipFill>
                  <pic:spPr>
                    <a:xfrm>
                      <a:off x="0" y="0"/>
                      <a:ext cx="5303520" cy="2919916"/>
                    </a:xfrm>
                    <a:prstGeom prst="rect"/>
                  </pic:spPr>
                </pic:pic>
              </a:graphicData>
            </a:graphic>
          </wp:inline>
        </w:drawing>
      </w:r>
    </w:p>
    <w:p>
      <w:pPr>
        <w:spacing w:after="200"/>
        <w:jc w:val="center"/>
      </w:pPr>
      <w:r>
        <w:rPr>
          <w:rFonts w:ascii="Times New Roman" w:hAnsi="Times New Roman"/>
          <w:i/>
          <w:sz w:val="18"/>
        </w:rPr>
        <w:t>Fig. 2. Performance benchmark comparison across evaluated models on the untouched test cohort (N = 1,600), illustrating Stacking Ensemble leadership in Recall, Accuracy, F1-Score, and Brier calibration.</w:t>
      </w:r>
    </w:p>
    <w:p>
      <w:pPr>
        <w:keepNext/>
        <w:spacing w:before="200" w:after="80"/>
      </w:pPr>
      <w:r>
        <w:rPr>
          <w:rFonts w:ascii="Times New Roman" w:hAnsi="Times New Roman"/>
          <w:b/>
          <w:color w:val="1F2937"/>
          <w:sz w:val="23"/>
        </w:rPr>
        <w:t>6.1 Contingency Table &amp; Confusion Matrix Decomposition</w:t>
      </w:r>
    </w:p>
    <w:p>
      <w:pPr>
        <w:spacing w:after="100" w:line="276" w:lineRule="auto"/>
        <w:jc w:val="both"/>
      </w:pPr>
      <w:r>
        <w:rPr>
          <w:rFonts w:ascii="Times New Roman" w:hAnsi="Times New Roman"/>
          <w:b w:val="0"/>
          <w:i w:val="0"/>
          <w:sz w:val="21"/>
        </w:rPr>
        <w:t>Decomposing the predictions into raw counts on the 1,600 test subscribers reveals the operational distribution of errors:</w:t>
      </w:r>
    </w:p>
    <w:p>
      <w:pPr>
        <w:spacing w:after="100" w:line="276" w:lineRule="auto"/>
        <w:jc w:val="center"/>
      </w:pPr>
      <w:r>
        <w:rPr>
          <w:rFonts w:ascii="Times New Roman" w:hAnsi="Times New Roman"/>
          <w:b/>
          <w:i w:val="0"/>
          <w:sz w:val="21"/>
        </w:rPr>
        <w:t>TABLE 6.2: CONTINGENCY TABLE DECOMPOSITION AT STANDARD THRESHOLD (tau = 0.50)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rPr>
          <w:cantSplit/>
          <w:tblHeader/>
        </w:trPr>
        <w:tc>
          <w:tcPr>
            <w:tcW w:type="dxa" w:w="2592"/>
            <w:shd w:val="clear" w:color="auto" w:fill="1E3A8A"/>
          </w:tcPr>
          <w:p>
            <w:pPr>
              <w:jc w:val="center"/>
            </w:pPr>
            <w:r>
              <w:rPr>
                <w:rFonts w:ascii="Times New Roman" w:hAnsi="Times New Roman"/>
                <w:b/>
                <w:color w:val="FFFFFF"/>
                <w:sz w:val="19"/>
              </w:rPr>
              <w:t>Model</w:t>
            </w:r>
          </w:p>
        </w:tc>
        <w:tc>
          <w:tcPr>
            <w:tcW w:type="dxa" w:w="1440"/>
            <w:shd w:val="clear" w:color="auto" w:fill="1E3A8A"/>
          </w:tcPr>
          <w:p>
            <w:pPr>
              <w:jc w:val="center"/>
            </w:pPr>
            <w:r>
              <w:rPr>
                <w:rFonts w:ascii="Times New Roman" w:hAnsi="Times New Roman"/>
                <w:b/>
                <w:color w:val="FFFFFF"/>
                <w:sz w:val="19"/>
              </w:rPr>
              <w:t>True Neg. (TN)</w:t>
            </w:r>
          </w:p>
        </w:tc>
        <w:tc>
          <w:tcPr>
            <w:tcW w:type="dxa" w:w="1440"/>
            <w:shd w:val="clear" w:color="auto" w:fill="1E3A8A"/>
          </w:tcPr>
          <w:p>
            <w:pPr>
              <w:jc w:val="center"/>
            </w:pPr>
            <w:r>
              <w:rPr>
                <w:rFonts w:ascii="Times New Roman" w:hAnsi="Times New Roman"/>
                <w:b/>
                <w:color w:val="FFFFFF"/>
                <w:sz w:val="19"/>
              </w:rPr>
              <w:t>False Pos. (FP)</w:t>
            </w:r>
          </w:p>
        </w:tc>
        <w:tc>
          <w:tcPr>
            <w:tcW w:type="dxa" w:w="1440"/>
            <w:shd w:val="clear" w:color="auto" w:fill="1E3A8A"/>
          </w:tcPr>
          <w:p>
            <w:pPr>
              <w:jc w:val="center"/>
            </w:pPr>
            <w:r>
              <w:rPr>
                <w:rFonts w:ascii="Times New Roman" w:hAnsi="Times New Roman"/>
                <w:b/>
                <w:color w:val="FFFFFF"/>
                <w:sz w:val="19"/>
              </w:rPr>
              <w:t>False Neg. (FN)</w:t>
            </w:r>
          </w:p>
        </w:tc>
        <w:tc>
          <w:tcPr>
            <w:tcW w:type="dxa" w:w="1440"/>
            <w:shd w:val="clear" w:color="auto" w:fill="1E3A8A"/>
          </w:tcPr>
          <w:p>
            <w:pPr>
              <w:jc w:val="center"/>
            </w:pPr>
            <w:r>
              <w:rPr>
                <w:rFonts w:ascii="Times New Roman" w:hAnsi="Times New Roman"/>
                <w:b/>
                <w:color w:val="FFFFFF"/>
                <w:sz w:val="19"/>
              </w:rPr>
              <w:t>True Pos. (TP)</w:t>
            </w:r>
          </w:p>
        </w:tc>
        <w:tc>
          <w:tcPr>
            <w:tcW w:type="dxa" w:w="1440"/>
            <w:shd w:val="clear" w:color="auto" w:fill="1E3A8A"/>
          </w:tcPr>
          <w:p>
            <w:pPr>
              <w:jc w:val="center"/>
            </w:pPr>
            <w:r>
              <w:rPr>
                <w:rFonts w:ascii="Times New Roman" w:hAnsi="Times New Roman"/>
                <w:b/>
                <w:color w:val="FFFFFF"/>
                <w:sz w:val="19"/>
              </w:rPr>
              <w:t>Total (N)</w:t>
            </w:r>
          </w:p>
        </w:tc>
      </w:tr>
      <w:tr>
        <w:trPr>
          <w:cantSplit/>
        </w:trPr>
        <w:tc>
          <w:tcPr>
            <w:tcW w:type="dxa" w:w="2592"/>
            <w:shd w:val="clear" w:color="auto" w:fill="F8FAFC"/>
          </w:tcPr>
          <w:p>
            <w:r>
              <w:rPr>
                <w:rFonts w:ascii="Times New Roman" w:hAnsi="Times New Roman"/>
                <w:sz w:val="18"/>
              </w:rPr>
              <w:t>Random Forest</w:t>
            </w:r>
          </w:p>
        </w:tc>
        <w:tc>
          <w:tcPr>
            <w:tcW w:type="dxa" w:w="1440"/>
            <w:shd w:val="clear" w:color="auto" w:fill="F8FAFC"/>
          </w:tcPr>
          <w:p>
            <w:r>
              <w:rPr>
                <w:rFonts w:ascii="Times New Roman" w:hAnsi="Times New Roman"/>
                <w:sz w:val="18"/>
              </w:rPr>
              <w:t>768</w:t>
            </w:r>
          </w:p>
        </w:tc>
        <w:tc>
          <w:tcPr>
            <w:tcW w:type="dxa" w:w="1440"/>
            <w:shd w:val="clear" w:color="auto" w:fill="F8FAFC"/>
          </w:tcPr>
          <w:p>
            <w:r>
              <w:rPr>
                <w:rFonts w:ascii="Times New Roman" w:hAnsi="Times New Roman"/>
                <w:sz w:val="18"/>
              </w:rPr>
              <w:t>32</w:t>
            </w:r>
          </w:p>
        </w:tc>
        <w:tc>
          <w:tcPr>
            <w:tcW w:type="dxa" w:w="1440"/>
            <w:shd w:val="clear" w:color="auto" w:fill="F8FAFC"/>
          </w:tcPr>
          <w:p>
            <w:r>
              <w:rPr>
                <w:rFonts w:ascii="Times New Roman" w:hAnsi="Times New Roman"/>
                <w:sz w:val="18"/>
              </w:rPr>
              <w:t>40</w:t>
            </w:r>
          </w:p>
        </w:tc>
        <w:tc>
          <w:tcPr>
            <w:tcW w:type="dxa" w:w="1440"/>
            <w:shd w:val="clear" w:color="auto" w:fill="F8FAFC"/>
          </w:tcPr>
          <w:p>
            <w:r>
              <w:rPr>
                <w:rFonts w:ascii="Times New Roman" w:hAnsi="Times New Roman"/>
                <w:sz w:val="18"/>
              </w:rPr>
              <w:t>760</w:t>
            </w:r>
          </w:p>
        </w:tc>
        <w:tc>
          <w:tcPr>
            <w:tcW w:type="dxa" w:w="1440"/>
            <w:shd w:val="clear" w:color="auto" w:fill="F8FAFC"/>
          </w:tcPr>
          <w:p>
            <w:r>
              <w:rPr>
                <w:rFonts w:ascii="Times New Roman" w:hAnsi="Times New Roman"/>
                <w:sz w:val="18"/>
              </w:rPr>
              <w:t>1,600</w:t>
            </w:r>
          </w:p>
        </w:tc>
      </w:tr>
      <w:tr>
        <w:trPr>
          <w:cantSplit/>
        </w:trPr>
        <w:tc>
          <w:tcPr>
            <w:tcW w:type="dxa" w:w="2592"/>
            <w:shd w:val="clear" w:color="auto" w:fill="FFFFFF"/>
          </w:tcPr>
          <w:p>
            <w:r>
              <w:rPr>
                <w:rFonts w:ascii="Times New Roman" w:hAnsi="Times New Roman"/>
                <w:sz w:val="18"/>
              </w:rPr>
              <w:t>XGBoost</w:t>
            </w:r>
          </w:p>
        </w:tc>
        <w:tc>
          <w:tcPr>
            <w:tcW w:type="dxa" w:w="1440"/>
            <w:shd w:val="clear" w:color="auto" w:fill="FFFFFF"/>
          </w:tcPr>
          <w:p>
            <w:r>
              <w:rPr>
                <w:rFonts w:ascii="Times New Roman" w:hAnsi="Times New Roman"/>
                <w:sz w:val="18"/>
              </w:rPr>
              <w:t>767</w:t>
            </w:r>
          </w:p>
        </w:tc>
        <w:tc>
          <w:tcPr>
            <w:tcW w:type="dxa" w:w="1440"/>
            <w:shd w:val="clear" w:color="auto" w:fill="FFFFFF"/>
          </w:tcPr>
          <w:p>
            <w:r>
              <w:rPr>
                <w:rFonts w:ascii="Times New Roman" w:hAnsi="Times New Roman"/>
                <w:sz w:val="18"/>
              </w:rPr>
              <w:t>33</w:t>
            </w:r>
          </w:p>
        </w:tc>
        <w:tc>
          <w:tcPr>
            <w:tcW w:type="dxa" w:w="1440"/>
            <w:shd w:val="clear" w:color="auto" w:fill="FFFFFF"/>
          </w:tcPr>
          <w:p>
            <w:r>
              <w:rPr>
                <w:rFonts w:ascii="Times New Roman" w:hAnsi="Times New Roman"/>
                <w:sz w:val="18"/>
              </w:rPr>
              <w:t>44</w:t>
            </w:r>
          </w:p>
        </w:tc>
        <w:tc>
          <w:tcPr>
            <w:tcW w:type="dxa" w:w="1440"/>
            <w:shd w:val="clear" w:color="auto" w:fill="FFFFFF"/>
          </w:tcPr>
          <w:p>
            <w:r>
              <w:rPr>
                <w:rFonts w:ascii="Times New Roman" w:hAnsi="Times New Roman"/>
                <w:sz w:val="18"/>
              </w:rPr>
              <w:t>756</w:t>
            </w:r>
          </w:p>
        </w:tc>
        <w:tc>
          <w:tcPr>
            <w:tcW w:type="dxa" w:w="1440"/>
            <w:shd w:val="clear" w:color="auto" w:fill="FFFFFF"/>
          </w:tcPr>
          <w:p>
            <w:r>
              <w:rPr>
                <w:rFonts w:ascii="Times New Roman" w:hAnsi="Times New Roman"/>
                <w:sz w:val="18"/>
              </w:rPr>
              <w:t>1,600</w:t>
            </w:r>
          </w:p>
        </w:tc>
      </w:tr>
      <w:tr>
        <w:trPr>
          <w:cantSplit/>
        </w:trPr>
        <w:tc>
          <w:tcPr>
            <w:tcW w:type="dxa" w:w="2592"/>
            <w:shd w:val="clear" w:color="auto" w:fill="F8FAFC"/>
          </w:tcPr>
          <w:p>
            <w:r>
              <w:rPr>
                <w:rFonts w:ascii="Times New Roman" w:hAnsi="Times New Roman"/>
                <w:sz w:val="18"/>
              </w:rPr>
              <w:t>LightGBM</w:t>
            </w:r>
          </w:p>
        </w:tc>
        <w:tc>
          <w:tcPr>
            <w:tcW w:type="dxa" w:w="1440"/>
            <w:shd w:val="clear" w:color="auto" w:fill="F8FAFC"/>
          </w:tcPr>
          <w:p>
            <w:r>
              <w:rPr>
                <w:rFonts w:ascii="Times New Roman" w:hAnsi="Times New Roman"/>
                <w:sz w:val="18"/>
              </w:rPr>
              <w:t>765</w:t>
            </w:r>
          </w:p>
        </w:tc>
        <w:tc>
          <w:tcPr>
            <w:tcW w:type="dxa" w:w="1440"/>
            <w:shd w:val="clear" w:color="auto" w:fill="F8FAFC"/>
          </w:tcPr>
          <w:p>
            <w:r>
              <w:rPr>
                <w:rFonts w:ascii="Times New Roman" w:hAnsi="Times New Roman"/>
                <w:sz w:val="18"/>
              </w:rPr>
              <w:t>35</w:t>
            </w:r>
          </w:p>
        </w:tc>
        <w:tc>
          <w:tcPr>
            <w:tcW w:type="dxa" w:w="1440"/>
            <w:shd w:val="clear" w:color="auto" w:fill="F8FAFC"/>
          </w:tcPr>
          <w:p>
            <w:r>
              <w:rPr>
                <w:rFonts w:ascii="Times New Roman" w:hAnsi="Times New Roman"/>
                <w:sz w:val="18"/>
              </w:rPr>
              <w:t>39</w:t>
            </w:r>
          </w:p>
        </w:tc>
        <w:tc>
          <w:tcPr>
            <w:tcW w:type="dxa" w:w="1440"/>
            <w:shd w:val="clear" w:color="auto" w:fill="F8FAFC"/>
          </w:tcPr>
          <w:p>
            <w:r>
              <w:rPr>
                <w:rFonts w:ascii="Times New Roman" w:hAnsi="Times New Roman"/>
                <w:sz w:val="18"/>
              </w:rPr>
              <w:t>761</w:t>
            </w:r>
          </w:p>
        </w:tc>
        <w:tc>
          <w:tcPr>
            <w:tcW w:type="dxa" w:w="1440"/>
            <w:shd w:val="clear" w:color="auto" w:fill="F8FAFC"/>
          </w:tcPr>
          <w:p>
            <w:r>
              <w:rPr>
                <w:rFonts w:ascii="Times New Roman" w:hAnsi="Times New Roman"/>
                <w:sz w:val="18"/>
              </w:rPr>
              <w:t>1,600</w:t>
            </w:r>
          </w:p>
        </w:tc>
      </w:tr>
      <w:tr>
        <w:trPr>
          <w:cantSplit/>
        </w:trPr>
        <w:tc>
          <w:tcPr>
            <w:tcW w:type="dxa" w:w="2592"/>
            <w:shd w:val="clear" w:color="auto" w:fill="FFFFFF"/>
          </w:tcPr>
          <w:p>
            <w:r>
              <w:rPr>
                <w:rFonts w:ascii="Times New Roman" w:hAnsi="Times New Roman"/>
                <w:sz w:val="18"/>
              </w:rPr>
              <w:t>Stacking Ensemble</w:t>
            </w:r>
          </w:p>
        </w:tc>
        <w:tc>
          <w:tcPr>
            <w:tcW w:type="dxa" w:w="1440"/>
            <w:shd w:val="clear" w:color="auto" w:fill="FFFFFF"/>
          </w:tcPr>
          <w:p>
            <w:r>
              <w:rPr>
                <w:rFonts w:ascii="Times New Roman" w:hAnsi="Times New Roman"/>
                <w:sz w:val="18"/>
              </w:rPr>
              <w:t>766</w:t>
            </w:r>
          </w:p>
        </w:tc>
        <w:tc>
          <w:tcPr>
            <w:tcW w:type="dxa" w:w="1440"/>
            <w:shd w:val="clear" w:color="auto" w:fill="FFFFFF"/>
          </w:tcPr>
          <w:p>
            <w:r>
              <w:rPr>
                <w:rFonts w:ascii="Times New Roman" w:hAnsi="Times New Roman"/>
                <w:sz w:val="18"/>
              </w:rPr>
              <w:t>34</w:t>
            </w:r>
          </w:p>
        </w:tc>
        <w:tc>
          <w:tcPr>
            <w:tcW w:type="dxa" w:w="1440"/>
            <w:shd w:val="clear" w:color="auto" w:fill="FFFFFF"/>
          </w:tcPr>
          <w:p>
            <w:r>
              <w:rPr>
                <w:rFonts w:ascii="Times New Roman" w:hAnsi="Times New Roman"/>
                <w:sz w:val="18"/>
              </w:rPr>
              <w:t>37</w:t>
            </w:r>
          </w:p>
        </w:tc>
        <w:tc>
          <w:tcPr>
            <w:tcW w:type="dxa" w:w="1440"/>
            <w:shd w:val="clear" w:color="auto" w:fill="FFFFFF"/>
          </w:tcPr>
          <w:p>
            <w:r>
              <w:rPr>
                <w:rFonts w:ascii="Times New Roman" w:hAnsi="Times New Roman"/>
                <w:sz w:val="18"/>
              </w:rPr>
              <w:t>763</w:t>
            </w:r>
          </w:p>
        </w:tc>
        <w:tc>
          <w:tcPr>
            <w:tcW w:type="dxa" w:w="1440"/>
            <w:shd w:val="clear" w:color="auto" w:fill="FFFFFF"/>
          </w:tcPr>
          <w:p>
            <w:r>
              <w:rPr>
                <w:rFonts w:ascii="Times New Roman" w:hAnsi="Times New Roman"/>
                <w:sz w:val="18"/>
              </w:rPr>
              <w:t>1,600</w:t>
            </w:r>
          </w:p>
        </w:tc>
      </w:tr>
    </w:tbl>
    <w:p>
      <w:pPr>
        <w:spacing w:before="160" w:after="80"/>
        <w:jc w:val="center"/>
      </w:pPr>
      <w:r>
        <w:drawing>
          <wp:inline xmlns:a="http://schemas.openxmlformats.org/drawingml/2006/main" xmlns:pic="http://schemas.openxmlformats.org/drawingml/2006/picture">
            <wp:extent cx="5303520" cy="2543221"/>
            <wp:docPr id="3" name="Picture 3"/>
            <wp:cNvGraphicFramePr>
              <a:graphicFrameLocks noChangeAspect="1"/>
            </wp:cNvGraphicFramePr>
            <a:graphic>
              <a:graphicData uri="http://schemas.openxmlformats.org/drawingml/2006/picture">
                <pic:pic>
                  <pic:nvPicPr>
                    <pic:cNvPr id="0" name="fig4_confusion_matrix.png"/>
                    <pic:cNvPicPr/>
                  </pic:nvPicPr>
                  <pic:blipFill>
                    <a:blip r:embed="rId11"/>
                    <a:stretch>
                      <a:fillRect/>
                    </a:stretch>
                  </pic:blipFill>
                  <pic:spPr>
                    <a:xfrm>
                      <a:off x="0" y="0"/>
                      <a:ext cx="5303520" cy="2543221"/>
                    </a:xfrm>
                    <a:prstGeom prst="rect"/>
                  </pic:spPr>
                </pic:pic>
              </a:graphicData>
            </a:graphic>
          </wp:inline>
        </w:drawing>
      </w:r>
    </w:p>
    <w:p>
      <w:pPr>
        <w:spacing w:after="200"/>
        <w:jc w:val="center"/>
      </w:pPr>
      <w:r>
        <w:rPr>
          <w:rFonts w:ascii="Times New Roman" w:hAnsi="Times New Roman"/>
          <w:i/>
          <w:sz w:val="18"/>
        </w:rPr>
        <w:t>Fig. 3. Confusion matrix of the proposed Stacking Ensemble on 1,600 held-out test instances, demonstrating 763 True Positives and only 37 missed churners.</w:t>
      </w:r>
    </w:p>
    <w:p>
      <w:pPr>
        <w:keepNext/>
        <w:spacing w:before="200" w:after="80"/>
      </w:pPr>
      <w:r>
        <w:rPr>
          <w:rFonts w:ascii="Times New Roman" w:hAnsi="Times New Roman"/>
          <w:b/>
          <w:color w:val="1F2937"/>
          <w:sz w:val="23"/>
        </w:rPr>
        <w:t>6.2 Discussion of Findings</w:t>
      </w:r>
    </w:p>
    <w:p>
      <w:pPr>
        <w:spacing w:after="100" w:line="276" w:lineRule="auto"/>
        <w:jc w:val="both"/>
      </w:pPr>
      <w:r>
        <w:rPr>
          <w:rFonts w:ascii="Times New Roman" w:hAnsi="Times New Roman"/>
          <w:b w:val="0"/>
          <w:i w:val="0"/>
          <w:sz w:val="21"/>
        </w:rPr>
        <w:t>The empirical results confirm that the Stacking Ensemble attains the highest Recall (95.4%), capturing 763 out of 800 true churners in the test cohort. This represents an improvement of 7 intercepted churners over XGBoost (756 TP) and 3 over Random Forest (760 TP). In telecom churn prevention, capturing true cancellations directly prevents permanent subscriber loss. Meanwhile, Random Forest achieves the highest Precision (96.0%), generating only 32 false alarms. The Stacking Ensemble achieves the lowest Brier calibration score (0.0346), confirming that the Logistic Regression meta-learner functions as an effective calibration transformation.</w:t>
      </w:r>
    </w:p>
    <w:p>
      <w:pPr>
        <w:keepNext/>
        <w:spacing w:before="280" w:after="120"/>
      </w:pPr>
      <w:r>
        <w:rPr>
          <w:rFonts w:ascii="Times New Roman" w:hAnsi="Times New Roman"/>
          <w:b/>
          <w:color w:val="111827"/>
          <w:sz w:val="26"/>
        </w:rPr>
        <w:t>7. COST-SENSITIVE THRESHOLD OPTIMIZATION &amp; BUSINESS ROI</w:t>
      </w:r>
    </w:p>
    <w:p>
      <w:pPr>
        <w:spacing w:after="100" w:line="276" w:lineRule="auto"/>
        <w:jc w:val="both"/>
      </w:pPr>
      <w:r>
        <w:rPr>
          <w:rFonts w:ascii="Times New Roman" w:hAnsi="Times New Roman"/>
          <w:b w:val="0"/>
          <w:i w:val="0"/>
          <w:sz w:val="21"/>
        </w:rPr>
        <w:t>In operational customer retention, error costs are highly asymmetric. Let Ccontact = $50 denote direct intervention cost, and let V_CLV = $500 denote customer lifetime value preserved upon retention. Assuming a conservative retention offer acceptance rate r = 50%, saving an identified churner yields a gross benefit of r * V_CLV = $250. The total business operational cost is Cost(tau) = Ccontact * (TP(tau) + FP(tau)) + V_CLV * FN(tau). Sweeping tau across validation folds identified the cost-minimizing threshold at tau* = 0.26.</w:t>
      </w:r>
    </w:p>
    <w:p>
      <w:pPr>
        <w:spacing w:before="160" w:after="80"/>
        <w:jc w:val="center"/>
      </w:pPr>
      <w:r>
        <w:drawing>
          <wp:inline xmlns:a="http://schemas.openxmlformats.org/drawingml/2006/main" xmlns:pic="http://schemas.openxmlformats.org/drawingml/2006/picture">
            <wp:extent cx="5303520" cy="3646170"/>
            <wp:docPr id="4" name="Picture 4"/>
            <wp:cNvGraphicFramePr>
              <a:graphicFrameLocks noChangeAspect="1"/>
            </wp:cNvGraphicFramePr>
            <a:graphic>
              <a:graphicData uri="http://schemas.openxmlformats.org/drawingml/2006/picture">
                <pic:pic>
                  <pic:nvPicPr>
                    <pic:cNvPr id="0" name="cost_sensitivity_curves.png"/>
                    <pic:cNvPicPr/>
                  </pic:nvPicPr>
                  <pic:blipFill>
                    <a:blip r:embed="rId12"/>
                    <a:stretch>
                      <a:fillRect/>
                    </a:stretch>
                  </pic:blipFill>
                  <pic:spPr>
                    <a:xfrm>
                      <a:off x="0" y="0"/>
                      <a:ext cx="5303520" cy="3646170"/>
                    </a:xfrm>
                    <a:prstGeom prst="rect"/>
                  </pic:spPr>
                </pic:pic>
              </a:graphicData>
            </a:graphic>
          </wp:inline>
        </w:drawing>
      </w:r>
    </w:p>
    <w:p>
      <w:pPr>
        <w:spacing w:after="200"/>
        <w:jc w:val="center"/>
      </w:pPr>
      <w:r>
        <w:rPr>
          <w:rFonts w:ascii="Times New Roman" w:hAnsi="Times New Roman"/>
          <w:i/>
          <w:sz w:val="18"/>
        </w:rPr>
        <w:t>Fig. 4. Total operational business cost as a function of classification threshold tau, establishing the cost-minimizing operating point at tau* = 0.26.</w:t>
      </w:r>
    </w:p>
    <w:p>
      <w:pPr>
        <w:spacing w:after="100" w:line="276" w:lineRule="auto"/>
        <w:jc w:val="center"/>
      </w:pPr>
      <w:r>
        <w:rPr>
          <w:rFonts w:ascii="Times New Roman" w:hAnsi="Times New Roman"/>
          <w:b/>
          <w:i w:val="0"/>
          <w:sz w:val="21"/>
        </w:rPr>
        <w:t>TABLE 7.1: SIMULATED RETENTION CAMPAIGN FINANCIAL IMPACT ON HELD-OUT COHORT (N = 1,600)</w:t>
      </w:r>
    </w:p>
    <w:tbl>
      <w:tblPr>
        <w:tblStyle w:val="TableGrid"/>
        <w:tblW w:type="auto" w:w="0"/>
        <w:jc w:val="center"/>
        <w:tblLook w:firstColumn="1" w:firstRow="1" w:lastColumn="0" w:lastRow="0" w:noHBand="0" w:noVBand="1" w:val="04A0"/>
      </w:tblPr>
      <w:tblGrid>
        <w:gridCol w:w="3137"/>
        <w:gridCol w:w="3137"/>
        <w:gridCol w:w="3137"/>
      </w:tblGrid>
      <w:tr>
        <w:trPr>
          <w:cantSplit/>
          <w:tblHeader/>
        </w:trPr>
        <w:tc>
          <w:tcPr>
            <w:tcW w:type="dxa" w:w="4320"/>
            <w:shd w:val="clear" w:color="auto" w:fill="1E3A8A"/>
          </w:tcPr>
          <w:p>
            <w:pPr>
              <w:jc w:val="center"/>
            </w:pPr>
            <w:r>
              <w:rPr>
                <w:rFonts w:ascii="Times New Roman" w:hAnsi="Times New Roman"/>
                <w:b/>
                <w:color w:val="FFFFFF"/>
                <w:sz w:val="19"/>
              </w:rPr>
              <w:t>Operational Metric / Parameter</w:t>
            </w:r>
          </w:p>
        </w:tc>
        <w:tc>
          <w:tcPr>
            <w:tcW w:type="dxa" w:w="2880"/>
            <w:shd w:val="clear" w:color="auto" w:fill="1E3A8A"/>
          </w:tcPr>
          <w:p>
            <w:pPr>
              <w:jc w:val="center"/>
            </w:pPr>
            <w:r>
              <w:rPr>
                <w:rFonts w:ascii="Times New Roman" w:hAnsi="Times New Roman"/>
                <w:b/>
                <w:color w:val="FFFFFF"/>
                <w:sz w:val="19"/>
              </w:rPr>
              <w:t>Standard Threshold (tau = 0.50)</w:t>
            </w:r>
          </w:p>
        </w:tc>
        <w:tc>
          <w:tcPr>
            <w:tcW w:type="dxa" w:w="2880"/>
            <w:shd w:val="clear" w:color="auto" w:fill="1E3A8A"/>
          </w:tcPr>
          <w:p>
            <w:pPr>
              <w:jc w:val="center"/>
            </w:pPr>
            <w:r>
              <w:rPr>
                <w:rFonts w:ascii="Times New Roman" w:hAnsi="Times New Roman"/>
                <w:b/>
                <w:color w:val="FFFFFF"/>
                <w:sz w:val="19"/>
              </w:rPr>
              <w:t>Cost-Tuned Threshold (tau* = 0.26)</w:t>
            </w:r>
          </w:p>
        </w:tc>
      </w:tr>
      <w:tr>
        <w:trPr>
          <w:cantSplit/>
        </w:trPr>
        <w:tc>
          <w:tcPr>
            <w:tcW w:type="dxa" w:w="4320"/>
            <w:shd w:val="clear" w:color="auto" w:fill="F8FAFC"/>
          </w:tcPr>
          <w:p>
            <w:r>
              <w:rPr>
                <w:rFonts w:ascii="Times New Roman" w:hAnsi="Times New Roman"/>
                <w:sz w:val="18"/>
              </w:rPr>
              <w:t>Decision Threshold (tau)</w:t>
            </w:r>
          </w:p>
        </w:tc>
        <w:tc>
          <w:tcPr>
            <w:tcW w:type="dxa" w:w="2880"/>
            <w:shd w:val="clear" w:color="auto" w:fill="F8FAFC"/>
          </w:tcPr>
          <w:p>
            <w:r>
              <w:rPr>
                <w:rFonts w:ascii="Times New Roman" w:hAnsi="Times New Roman"/>
                <w:sz w:val="18"/>
              </w:rPr>
              <w:t>0.50</w:t>
            </w:r>
          </w:p>
        </w:tc>
        <w:tc>
          <w:tcPr>
            <w:tcW w:type="dxa" w:w="2880"/>
            <w:shd w:val="clear" w:color="auto" w:fill="F8FAFC"/>
          </w:tcPr>
          <w:p>
            <w:r>
              <w:rPr>
                <w:rFonts w:ascii="Times New Roman" w:hAnsi="Times New Roman"/>
                <w:sz w:val="18"/>
              </w:rPr>
              <w:t>0.26</w:t>
            </w:r>
          </w:p>
        </w:tc>
      </w:tr>
      <w:tr>
        <w:trPr>
          <w:cantSplit/>
        </w:trPr>
        <w:tc>
          <w:tcPr>
            <w:tcW w:type="dxa" w:w="4320"/>
            <w:shd w:val="clear" w:color="auto" w:fill="FFFFFF"/>
          </w:tcPr>
          <w:p>
            <w:r>
              <w:rPr>
                <w:rFonts w:ascii="Times New Roman" w:hAnsi="Times New Roman"/>
                <w:sz w:val="18"/>
              </w:rPr>
              <w:t>True Churners Captured (TP)</w:t>
            </w:r>
          </w:p>
        </w:tc>
        <w:tc>
          <w:tcPr>
            <w:tcW w:type="dxa" w:w="2880"/>
            <w:shd w:val="clear" w:color="auto" w:fill="FFFFFF"/>
          </w:tcPr>
          <w:p>
            <w:r>
              <w:rPr>
                <w:rFonts w:ascii="Times New Roman" w:hAnsi="Times New Roman"/>
                <w:sz w:val="18"/>
              </w:rPr>
              <w:t>763</w:t>
            </w:r>
          </w:p>
        </w:tc>
        <w:tc>
          <w:tcPr>
            <w:tcW w:type="dxa" w:w="2880"/>
            <w:shd w:val="clear" w:color="auto" w:fill="FFFFFF"/>
          </w:tcPr>
          <w:p>
            <w:r>
              <w:rPr>
                <w:rFonts w:ascii="Times New Roman" w:hAnsi="Times New Roman"/>
                <w:sz w:val="18"/>
              </w:rPr>
              <w:t>770 (+7 churners saved)</w:t>
            </w:r>
          </w:p>
        </w:tc>
      </w:tr>
      <w:tr>
        <w:trPr>
          <w:cantSplit/>
        </w:trPr>
        <w:tc>
          <w:tcPr>
            <w:tcW w:type="dxa" w:w="4320"/>
            <w:shd w:val="clear" w:color="auto" w:fill="F8FAFC"/>
          </w:tcPr>
          <w:p>
            <w:r>
              <w:rPr>
                <w:rFonts w:ascii="Times New Roman" w:hAnsi="Times New Roman"/>
                <w:sz w:val="18"/>
              </w:rPr>
              <w:t>Missed Defections (FN)</w:t>
            </w:r>
          </w:p>
        </w:tc>
        <w:tc>
          <w:tcPr>
            <w:tcW w:type="dxa" w:w="2880"/>
            <w:shd w:val="clear" w:color="auto" w:fill="F8FAFC"/>
          </w:tcPr>
          <w:p>
            <w:r>
              <w:rPr>
                <w:rFonts w:ascii="Times New Roman" w:hAnsi="Times New Roman"/>
                <w:sz w:val="18"/>
              </w:rPr>
              <w:t>37</w:t>
            </w:r>
          </w:p>
        </w:tc>
        <w:tc>
          <w:tcPr>
            <w:tcW w:type="dxa" w:w="2880"/>
            <w:shd w:val="clear" w:color="auto" w:fill="F8FAFC"/>
          </w:tcPr>
          <w:p>
            <w:r>
              <w:rPr>
                <w:rFonts w:ascii="Times New Roman" w:hAnsi="Times New Roman"/>
                <w:sz w:val="18"/>
              </w:rPr>
              <w:t>30 (-7 missed defections)</w:t>
            </w:r>
          </w:p>
        </w:tc>
      </w:tr>
      <w:tr>
        <w:trPr>
          <w:cantSplit/>
        </w:trPr>
        <w:tc>
          <w:tcPr>
            <w:tcW w:type="dxa" w:w="4320"/>
            <w:shd w:val="clear" w:color="auto" w:fill="FFFFFF"/>
          </w:tcPr>
          <w:p>
            <w:r>
              <w:rPr>
                <w:rFonts w:ascii="Times New Roman" w:hAnsi="Times New Roman"/>
                <w:sz w:val="18"/>
              </w:rPr>
              <w:t>False Alarms (FP)</w:t>
            </w:r>
          </w:p>
        </w:tc>
        <w:tc>
          <w:tcPr>
            <w:tcW w:type="dxa" w:w="2880"/>
            <w:shd w:val="clear" w:color="auto" w:fill="FFFFFF"/>
          </w:tcPr>
          <w:p>
            <w:r>
              <w:rPr>
                <w:rFonts w:ascii="Times New Roman" w:hAnsi="Times New Roman"/>
                <w:sz w:val="18"/>
              </w:rPr>
              <w:t>34</w:t>
            </w:r>
          </w:p>
        </w:tc>
        <w:tc>
          <w:tcPr>
            <w:tcW w:type="dxa" w:w="2880"/>
            <w:shd w:val="clear" w:color="auto" w:fill="FFFFFF"/>
          </w:tcPr>
          <w:p>
            <w:r>
              <w:rPr>
                <w:rFonts w:ascii="Times New Roman" w:hAnsi="Times New Roman"/>
                <w:sz w:val="18"/>
              </w:rPr>
              <w:t>43 (+9 promotional outlays)</w:t>
            </w:r>
          </w:p>
        </w:tc>
      </w:tr>
      <w:tr>
        <w:trPr>
          <w:cantSplit/>
        </w:trPr>
        <w:tc>
          <w:tcPr>
            <w:tcW w:type="dxa" w:w="4320"/>
            <w:shd w:val="clear" w:color="auto" w:fill="F8FAFC"/>
          </w:tcPr>
          <w:p>
            <w:r>
              <w:rPr>
                <w:rFonts w:ascii="Times New Roman" w:hAnsi="Times New Roman"/>
                <w:sz w:val="18"/>
              </w:rPr>
              <w:t>Total Retention Interventions (TP + FP)</w:t>
            </w:r>
          </w:p>
        </w:tc>
        <w:tc>
          <w:tcPr>
            <w:tcW w:type="dxa" w:w="2880"/>
            <w:shd w:val="clear" w:color="auto" w:fill="F8FAFC"/>
          </w:tcPr>
          <w:p>
            <w:r>
              <w:rPr>
                <w:rFonts w:ascii="Times New Roman" w:hAnsi="Times New Roman"/>
                <w:sz w:val="18"/>
              </w:rPr>
              <w:t>797</w:t>
            </w:r>
          </w:p>
        </w:tc>
        <w:tc>
          <w:tcPr>
            <w:tcW w:type="dxa" w:w="2880"/>
            <w:shd w:val="clear" w:color="auto" w:fill="F8FAFC"/>
          </w:tcPr>
          <w:p>
            <w:r>
              <w:rPr>
                <w:rFonts w:ascii="Times New Roman" w:hAnsi="Times New Roman"/>
                <w:sz w:val="18"/>
              </w:rPr>
              <w:t>813</w:t>
            </w:r>
          </w:p>
        </w:tc>
      </w:tr>
      <w:tr>
        <w:trPr>
          <w:cantSplit/>
        </w:trPr>
        <w:tc>
          <w:tcPr>
            <w:tcW w:type="dxa" w:w="4320"/>
            <w:shd w:val="clear" w:color="auto" w:fill="FFFFFF"/>
          </w:tcPr>
          <w:p>
            <w:r>
              <w:rPr>
                <w:rFonts w:ascii="Times New Roman" w:hAnsi="Times New Roman"/>
                <w:sz w:val="18"/>
              </w:rPr>
              <w:t>Outreach Cost (813 x $50)</w:t>
            </w:r>
          </w:p>
        </w:tc>
        <w:tc>
          <w:tcPr>
            <w:tcW w:type="dxa" w:w="2880"/>
            <w:shd w:val="clear" w:color="auto" w:fill="FFFFFF"/>
          </w:tcPr>
          <w:p>
            <w:r>
              <w:rPr>
                <w:rFonts w:ascii="Times New Roman" w:hAnsi="Times New Roman"/>
                <w:sz w:val="18"/>
              </w:rPr>
              <w:t>$39,850</w:t>
            </w:r>
          </w:p>
        </w:tc>
        <w:tc>
          <w:tcPr>
            <w:tcW w:type="dxa" w:w="2880"/>
            <w:shd w:val="clear" w:color="auto" w:fill="FFFFFF"/>
          </w:tcPr>
          <w:p>
            <w:r>
              <w:rPr>
                <w:rFonts w:ascii="Times New Roman" w:hAnsi="Times New Roman"/>
                <w:sz w:val="18"/>
              </w:rPr>
              <w:t>$40,650</w:t>
            </w:r>
          </w:p>
        </w:tc>
      </w:tr>
      <w:tr>
        <w:trPr>
          <w:cantSplit/>
        </w:trPr>
        <w:tc>
          <w:tcPr>
            <w:tcW w:type="dxa" w:w="4320"/>
            <w:shd w:val="clear" w:color="auto" w:fill="F8FAFC"/>
          </w:tcPr>
          <w:p>
            <w:r>
              <w:rPr>
                <w:rFonts w:ascii="Times New Roman" w:hAnsi="Times New Roman"/>
                <w:sz w:val="18"/>
              </w:rPr>
              <w:t>Gross Value Preserved (770 x $250)</w:t>
            </w:r>
          </w:p>
        </w:tc>
        <w:tc>
          <w:tcPr>
            <w:tcW w:type="dxa" w:w="2880"/>
            <w:shd w:val="clear" w:color="auto" w:fill="F8FAFC"/>
          </w:tcPr>
          <w:p>
            <w:r>
              <w:rPr>
                <w:rFonts w:ascii="Times New Roman" w:hAnsi="Times New Roman"/>
                <w:sz w:val="18"/>
              </w:rPr>
              <w:t>$190,750</w:t>
            </w:r>
          </w:p>
        </w:tc>
        <w:tc>
          <w:tcPr>
            <w:tcW w:type="dxa" w:w="2880"/>
            <w:shd w:val="clear" w:color="auto" w:fill="F8FAFC"/>
          </w:tcPr>
          <w:p>
            <w:r>
              <w:rPr>
                <w:rFonts w:ascii="Times New Roman" w:hAnsi="Times New Roman"/>
                <w:sz w:val="18"/>
              </w:rPr>
              <w:t>$192,500</w:t>
            </w:r>
          </w:p>
        </w:tc>
      </w:tr>
      <w:tr>
        <w:trPr>
          <w:cantSplit/>
        </w:trPr>
        <w:tc>
          <w:tcPr>
            <w:tcW w:type="dxa" w:w="4320"/>
            <w:shd w:val="clear" w:color="auto" w:fill="FFFFFF"/>
          </w:tcPr>
          <w:p>
            <w:r>
              <w:rPr>
                <w:rFonts w:ascii="Times New Roman" w:hAnsi="Times New Roman"/>
                <w:sz w:val="18"/>
              </w:rPr>
              <w:t>Net Financial Benefit Preserved</w:t>
            </w:r>
          </w:p>
        </w:tc>
        <w:tc>
          <w:tcPr>
            <w:tcW w:type="dxa" w:w="2880"/>
            <w:shd w:val="clear" w:color="auto" w:fill="FFFFFF"/>
          </w:tcPr>
          <w:p>
            <w:r>
              <w:rPr>
                <w:rFonts w:ascii="Times New Roman" w:hAnsi="Times New Roman"/>
                <w:sz w:val="18"/>
              </w:rPr>
              <w:t>+$150,900</w:t>
            </w:r>
          </w:p>
        </w:tc>
        <w:tc>
          <w:tcPr>
            <w:tcW w:type="dxa" w:w="2880"/>
            <w:shd w:val="clear" w:color="auto" w:fill="FFFFFF"/>
          </w:tcPr>
          <w:p>
            <w:r>
              <w:rPr>
                <w:rFonts w:ascii="Times New Roman" w:hAnsi="Times New Roman"/>
                <w:sz w:val="18"/>
              </w:rPr>
              <w:t>+$151,850 (+$950 Net Gain)</w:t>
            </w:r>
          </w:p>
        </w:tc>
      </w:tr>
      <w:tr>
        <w:trPr>
          <w:cantSplit/>
        </w:trPr>
        <w:tc>
          <w:tcPr>
            <w:tcW w:type="dxa" w:w="4320"/>
            <w:shd w:val="clear" w:color="auto" w:fill="F8FAFC"/>
          </w:tcPr>
          <w:p>
            <w:r>
              <w:rPr>
                <w:rFonts w:ascii="Times New Roman" w:hAnsi="Times New Roman"/>
                <w:sz w:val="18"/>
              </w:rPr>
              <w:t>Campaign Net ROI (%)</w:t>
            </w:r>
          </w:p>
        </w:tc>
        <w:tc>
          <w:tcPr>
            <w:tcW w:type="dxa" w:w="2880"/>
            <w:shd w:val="clear" w:color="auto" w:fill="F8FAFC"/>
          </w:tcPr>
          <w:p>
            <w:r>
              <w:rPr>
                <w:rFonts w:ascii="Times New Roman" w:hAnsi="Times New Roman"/>
                <w:sz w:val="18"/>
              </w:rPr>
              <w:t>+378.7%</w:t>
            </w:r>
          </w:p>
        </w:tc>
        <w:tc>
          <w:tcPr>
            <w:tcW w:type="dxa" w:w="2880"/>
            <w:shd w:val="clear" w:color="auto" w:fill="F8FAFC"/>
          </w:tcPr>
          <w:p>
            <w:r>
              <w:rPr>
                <w:rFonts w:ascii="Times New Roman" w:hAnsi="Times New Roman"/>
                <w:sz w:val="18"/>
              </w:rPr>
              <w:t>+373.6%</w:t>
            </w:r>
          </w:p>
        </w:tc>
      </w:tr>
    </w:tbl>
    <w:p>
      <w:pPr>
        <w:keepNext/>
        <w:spacing w:before="280" w:after="120"/>
      </w:pPr>
      <w:r>
        <w:rPr>
          <w:rFonts w:ascii="Times New Roman" w:hAnsi="Times New Roman"/>
          <w:b/>
          <w:color w:val="111827"/>
          <w:sz w:val="26"/>
        </w:rPr>
        <w:t>8. EXPLAINABLE AI &amp; PRESCRIPTIVE DECISION SUPPORT</w:t>
      </w:r>
    </w:p>
    <w:p>
      <w:pPr>
        <w:spacing w:after="100" w:line="276" w:lineRule="auto"/>
        <w:jc w:val="both"/>
      </w:pPr>
      <w:r>
        <w:rPr>
          <w:rFonts w:ascii="Times New Roman" w:hAnsi="Times New Roman"/>
          <w:b w:val="0"/>
          <w:i w:val="0"/>
          <w:sz w:val="21"/>
        </w:rPr>
        <w:t>Global feature importance was evaluated across the 1,600 hold-out test subscribers using TreeSHAP applied to the gradient boosting component within the ensemble:</w:t>
      </w:r>
    </w:p>
    <w:p>
      <w:pPr>
        <w:spacing w:after="100" w:line="276" w:lineRule="auto"/>
        <w:jc w:val="both"/>
      </w:pPr>
      <w:r>
        <w:rPr>
          <w:rFonts w:ascii="Times New Roman" w:hAnsi="Times New Roman"/>
          <w:b w:val="0"/>
          <w:i w:val="0"/>
          <w:sz w:val="21"/>
        </w:rPr>
        <w:t>1. Tenure (Mean |SHAP| = 1.4539): Negative correlation. Shorter tenure strongly pushes predictions toward churn, whereas subscribers past 24 months exhibit substantial loyalty inertia.</w:t>
      </w:r>
    </w:p>
    <w:p>
      <w:pPr>
        <w:spacing w:after="100" w:line="276" w:lineRule="auto"/>
        <w:jc w:val="both"/>
      </w:pPr>
      <w:r>
        <w:rPr>
          <w:rFonts w:ascii="Times New Roman" w:hAnsi="Times New Roman"/>
          <w:b w:val="0"/>
          <w:i w:val="0"/>
          <w:sz w:val="21"/>
        </w:rPr>
        <w:t>2. Month-to-Month Contract (|SHAP| = 1.2842): Strong positive attribution. Lack of long-term contract lock-in is the single largest structural hazard.</w:t>
      </w:r>
    </w:p>
    <w:p>
      <w:pPr>
        <w:spacing w:after="100" w:line="276" w:lineRule="auto"/>
        <w:jc w:val="both"/>
      </w:pPr>
      <w:r>
        <w:rPr>
          <w:rFonts w:ascii="Times New Roman" w:hAnsi="Times New Roman"/>
          <w:b w:val="0"/>
          <w:i w:val="0"/>
          <w:sz w:val="21"/>
        </w:rPr>
        <w:t>3. Electronic Check Payment (|SHAP| = 0.9415): High friction manual payment mechanism drives attrition.</w:t>
      </w:r>
    </w:p>
    <w:p>
      <w:pPr>
        <w:spacing w:after="100" w:line="276" w:lineRule="auto"/>
        <w:jc w:val="both"/>
      </w:pPr>
      <w:r>
        <w:rPr>
          <w:rFonts w:ascii="Times New Roman" w:hAnsi="Times New Roman"/>
          <w:b w:val="0"/>
          <w:i w:val="0"/>
          <w:sz w:val="21"/>
        </w:rPr>
        <w:t>4. Monthly Charges (|SHAP| = 0.8124): Price elasticity and spending velocity.</w:t>
      </w:r>
    </w:p>
    <w:p>
      <w:pPr>
        <w:spacing w:after="100" w:line="276" w:lineRule="auto"/>
        <w:jc w:val="both"/>
      </w:pPr>
      <w:r>
        <w:rPr>
          <w:rFonts w:ascii="Times New Roman" w:hAnsi="Times New Roman"/>
          <w:b w:val="0"/>
          <w:i w:val="0"/>
          <w:sz w:val="21"/>
        </w:rPr>
        <w:t>5. Fiber Optic Internet (|SHAP| = 0.7241): Higher bill volatility and competitive poaching density.</w:t>
      </w:r>
    </w:p>
    <w:p>
      <w:pPr>
        <w:spacing w:after="100" w:line="276" w:lineRule="auto"/>
        <w:jc w:val="both"/>
      </w:pPr>
      <w:r>
        <w:rPr>
          <w:rFonts w:ascii="Times New Roman" w:hAnsi="Times New Roman"/>
          <w:b w:val="0"/>
          <w:i w:val="0"/>
          <w:sz w:val="21"/>
        </w:rPr>
        <w:t>6. Tech Support Absence (|SHAP| = 0.6128) &amp; Online Security Absence (|SHAP| = 0.5312): Low service attachment.</w:t>
      </w:r>
    </w:p>
    <w:p>
      <w:pPr>
        <w:spacing w:before="160" w:after="80"/>
        <w:jc w:val="center"/>
      </w:pPr>
      <w:r>
        <w:drawing>
          <wp:inline xmlns:a="http://schemas.openxmlformats.org/drawingml/2006/main" xmlns:pic="http://schemas.openxmlformats.org/drawingml/2006/picture">
            <wp:extent cx="5303520" cy="3788229"/>
            <wp:docPr id="5" name="Picture 5"/>
            <wp:cNvGraphicFramePr>
              <a:graphicFrameLocks noChangeAspect="1"/>
            </wp:cNvGraphicFramePr>
            <a:graphic>
              <a:graphicData uri="http://schemas.openxmlformats.org/drawingml/2006/picture">
                <pic:pic>
                  <pic:nvPicPr>
                    <pic:cNvPr id="0" name="shap_feature_importance_bar.png"/>
                    <pic:cNvPicPr/>
                  </pic:nvPicPr>
                  <pic:blipFill>
                    <a:blip r:embed="rId13"/>
                    <a:stretch>
                      <a:fillRect/>
                    </a:stretch>
                  </pic:blipFill>
                  <pic:spPr>
                    <a:xfrm>
                      <a:off x="0" y="0"/>
                      <a:ext cx="5303520" cy="3788229"/>
                    </a:xfrm>
                    <a:prstGeom prst="rect"/>
                  </pic:spPr>
                </pic:pic>
              </a:graphicData>
            </a:graphic>
          </wp:inline>
        </w:drawing>
      </w:r>
    </w:p>
    <w:p>
      <w:pPr>
        <w:spacing w:after="200"/>
        <w:jc w:val="center"/>
      </w:pPr>
      <w:r>
        <w:rPr>
          <w:rFonts w:ascii="Times New Roman" w:hAnsi="Times New Roman"/>
          <w:i/>
          <w:sz w:val="18"/>
        </w:rPr>
        <w:t>Fig. 5. Global feature importance derived from 1,600 held-out test subscribers using TreeSHAP, ranking primary drivers of customer attrition.</w:t>
      </w:r>
    </w:p>
    <w:p>
      <w:pPr>
        <w:keepNext/>
        <w:spacing w:before="200" w:after="80"/>
      </w:pPr>
      <w:r>
        <w:rPr>
          <w:rFonts w:ascii="Times New Roman" w:hAnsi="Times New Roman"/>
          <w:b/>
          <w:color w:val="1F2937"/>
          <w:sz w:val="23"/>
        </w:rPr>
        <w:t>8.1 SHAP-LIME Concordance Audit</w:t>
      </w:r>
    </w:p>
    <w:p>
      <w:pPr>
        <w:spacing w:after="100" w:line="276" w:lineRule="auto"/>
        <w:jc w:val="both"/>
      </w:pPr>
      <w:r>
        <w:rPr>
          <w:rFonts w:ascii="Times New Roman" w:hAnsi="Times New Roman"/>
          <w:b w:val="0"/>
          <w:i w:val="0"/>
          <w:sz w:val="21"/>
        </w:rPr>
        <w:t>Evaluating both SHAP and LIME across N = 200 test subscribers revealed a Spearman rank correlation of rho = 0.2421 ± 0.1091 and a Top-3 feature attribution overlap of only 22.83%. LIME's local perturbation sampling is vulnerable to sampling variance in sparse binary feature spaces, whereas SHAP's game-theoretic foundation provides consistent global and local attributions.</w:t>
      </w:r>
    </w:p>
    <w:p>
      <w:pPr>
        <w:keepNext/>
        <w:spacing w:before="200" w:after="80"/>
      </w:pPr>
      <w:r>
        <w:rPr>
          <w:rFonts w:ascii="Times New Roman" w:hAnsi="Times New Roman"/>
          <w:b/>
          <w:color w:val="1F2937"/>
          <w:sz w:val="23"/>
        </w:rPr>
        <w:t>8.2 Prescriptive Retention Decision Rules</w:t>
      </w:r>
    </w:p>
    <w:p>
      <w:pPr>
        <w:spacing w:after="100" w:line="276" w:lineRule="auto"/>
        <w:jc w:val="both"/>
      </w:pPr>
      <w:r>
        <w:rPr>
          <w:rFonts w:ascii="Times New Roman" w:hAnsi="Times New Roman"/>
          <w:b w:val="0"/>
          <w:i w:val="0"/>
          <w:sz w:val="21"/>
        </w:rPr>
        <w:t>The framework maps customer profiles and top SHAP drivers into tailored operational save campaigns:</w:t>
      </w:r>
    </w:p>
    <w:p>
      <w:pPr>
        <w:spacing w:after="100" w:line="276" w:lineRule="auto"/>
        <w:jc w:val="both"/>
      </w:pPr>
      <w:r>
        <w:rPr>
          <w:rFonts w:ascii="Times New Roman" w:hAnsi="Times New Roman"/>
          <w:b w:val="0"/>
          <w:i w:val="0"/>
          <w:sz w:val="21"/>
        </w:rPr>
        <w:t>• Tier 1: Contract Lock-in (SHAP Contract &gt; +0.30): Offer a 15% discount on an annual contract renewal.</w:t>
      </w:r>
    </w:p>
    <w:p>
      <w:pPr>
        <w:spacing w:after="100" w:line="276" w:lineRule="auto"/>
        <w:jc w:val="both"/>
      </w:pPr>
      <w:r>
        <w:rPr>
          <w:rFonts w:ascii="Times New Roman" w:hAnsi="Times New Roman"/>
          <w:b w:val="0"/>
          <w:i w:val="0"/>
          <w:sz w:val="21"/>
        </w:rPr>
        <w:t>• Tier 2: Payment Migration (SHAP Payment &gt; +0.25): Provide a one-time $10 bill credit upon enrolling in automated ACH bank draft or credit card autopay.</w:t>
      </w:r>
    </w:p>
    <w:p>
      <w:pPr>
        <w:spacing w:after="100" w:line="276" w:lineRule="auto"/>
        <w:jc w:val="both"/>
      </w:pPr>
      <w:r>
        <w:rPr>
          <w:rFonts w:ascii="Times New Roman" w:hAnsi="Times New Roman"/>
          <w:b w:val="0"/>
          <w:i w:val="0"/>
          <w:sz w:val="21"/>
        </w:rPr>
        <w:t>• Tier 3: Support &amp; Security Attachment: Enroll subscriber in a 60-day complimentary trial of Premium Tech Support and Cloud Cyber Protection.</w:t>
      </w:r>
    </w:p>
    <w:p>
      <w:pPr>
        <w:spacing w:after="100" w:line="276" w:lineRule="auto"/>
        <w:jc w:val="both"/>
      </w:pPr>
      <w:r>
        <w:rPr>
          <w:rFonts w:ascii="Times New Roman" w:hAnsi="Times New Roman"/>
          <w:b w:val="0"/>
          <w:i w:val="0"/>
          <w:sz w:val="21"/>
        </w:rPr>
        <w:t>• Tier 4: High-Spend Value Re-bundling: Transition account to an Optimized Value Bundle (free streaming tier upgrade with capped charges).</w:t>
      </w:r>
    </w:p>
    <w:p>
      <w:pPr>
        <w:spacing w:before="160" w:after="80"/>
        <w:jc w:val="center"/>
      </w:pPr>
      <w:r>
        <w:drawing>
          <wp:inline xmlns:a="http://schemas.openxmlformats.org/drawingml/2006/main" xmlns:pic="http://schemas.openxmlformats.org/drawingml/2006/picture">
            <wp:extent cx="5303520" cy="3297702"/>
            <wp:docPr id="6" name="Picture 6"/>
            <wp:cNvGraphicFramePr>
              <a:graphicFrameLocks noChangeAspect="1"/>
            </wp:cNvGraphicFramePr>
            <a:graphic>
              <a:graphicData uri="http://schemas.openxmlformats.org/drawingml/2006/picture">
                <pic:pic>
                  <pic:nvPicPr>
                    <pic:cNvPr id="0" name="fig7_xai_recommendation_workflow.png"/>
                    <pic:cNvPicPr/>
                  </pic:nvPicPr>
                  <pic:blipFill>
                    <a:blip r:embed="rId14"/>
                    <a:stretch>
                      <a:fillRect/>
                    </a:stretch>
                  </pic:blipFill>
                  <pic:spPr>
                    <a:xfrm>
                      <a:off x="0" y="0"/>
                      <a:ext cx="5303520" cy="3297702"/>
                    </a:xfrm>
                    <a:prstGeom prst="rect"/>
                  </pic:spPr>
                </pic:pic>
              </a:graphicData>
            </a:graphic>
          </wp:inline>
        </w:drawing>
      </w:r>
    </w:p>
    <w:p>
      <w:pPr>
        <w:spacing w:after="200"/>
        <w:jc w:val="center"/>
      </w:pPr>
      <w:r>
        <w:rPr>
          <w:rFonts w:ascii="Times New Roman" w:hAnsi="Times New Roman"/>
          <w:i/>
          <w:sz w:val="18"/>
        </w:rPr>
        <w:t>Fig. 6. Prescriptive decision-support workflow integrating individual SHAP driver attribution with tailored operational save campaigns.</w:t>
      </w:r>
    </w:p>
    <w:p>
      <w:pPr>
        <w:keepNext/>
        <w:spacing w:before="280" w:after="120"/>
      </w:pPr>
      <w:r>
        <w:rPr>
          <w:rFonts w:ascii="Times New Roman" w:hAnsi="Times New Roman"/>
          <w:b/>
          <w:color w:val="111827"/>
          <w:sz w:val="26"/>
        </w:rPr>
        <w:t>9. APPLICATION IMPLEMENTATION &amp; USER INTERFACE</w:t>
      </w:r>
    </w:p>
    <w:p>
      <w:pPr>
        <w:spacing w:after="100" w:line="276" w:lineRule="auto"/>
        <w:jc w:val="both"/>
      </w:pPr>
      <w:r>
        <w:rPr>
          <w:rFonts w:ascii="Times New Roman" w:hAnsi="Times New Roman"/>
          <w:b w:val="0"/>
          <w:i w:val="0"/>
          <w:sz w:val="21"/>
        </w:rPr>
        <w:t>The production framework is deployed as a decoupled full-stack architecture:</w:t>
      </w:r>
    </w:p>
    <w:p>
      <w:pPr>
        <w:spacing w:after="100" w:line="276" w:lineRule="auto"/>
        <w:jc w:val="both"/>
      </w:pPr>
      <w:r>
        <w:rPr>
          <w:rFonts w:ascii="Times New Roman" w:hAnsi="Times New Roman"/>
          <w:b w:val="0"/>
          <w:i w:val="0"/>
          <w:sz w:val="21"/>
        </w:rPr>
        <w:t>• Backend Architecture: FastAPI (Python 3.11) serving asynchronous REST endpoints via Uvicorn on port 8000. Provides single-customer inference, vectorized batch CSV processing, historical prediction logging, live model comparison feeds, and what-if simulation.</w:t>
      </w:r>
    </w:p>
    <w:p>
      <w:pPr>
        <w:spacing w:after="100" w:line="276" w:lineRule="auto"/>
        <w:jc w:val="both"/>
      </w:pPr>
      <w:r>
        <w:rPr>
          <w:rFonts w:ascii="Times New Roman" w:hAnsi="Times New Roman"/>
          <w:b w:val="0"/>
          <w:i w:val="0"/>
          <w:sz w:val="21"/>
        </w:rPr>
        <w:t>• Frontend Interface: React 19 + Vite served on port 5173. Provides interactive single-customer risk profiling with SHAP waterfall charts, multi-customer batch CSV analytics, model comparison KPI cards, and scenario-based what-if sensitivity analysis.</w:t>
      </w:r>
    </w:p>
    <w:p>
      <w:pPr>
        <w:keepNext/>
        <w:spacing w:before="280" w:after="120"/>
      </w:pPr>
      <w:r>
        <w:rPr>
          <w:rFonts w:ascii="Times New Roman" w:hAnsi="Times New Roman"/>
          <w:b/>
          <w:color w:val="111827"/>
          <w:sz w:val="26"/>
        </w:rPr>
        <w:t>10. LIMITATIONS &amp; THREATS TO VALIDITY</w:t>
      </w:r>
    </w:p>
    <w:p>
      <w:pPr>
        <w:spacing w:after="100" w:line="276" w:lineRule="auto"/>
        <w:jc w:val="both"/>
      </w:pPr>
      <w:r>
        <w:rPr>
          <w:rFonts w:ascii="Times New Roman" w:hAnsi="Times New Roman"/>
          <w:b w:val="0"/>
          <w:i w:val="0"/>
          <w:sz w:val="21"/>
        </w:rPr>
        <w:t>1. Balanced Data vs. Real-World Prevalence: The benchmark was evaluated on an 8,000-subscriber dataset exhibiting an artificial 50/50 churn ratio. In production telecom networks exhibiting 5%-10% natural churn, Bayesian threshold shifting or Platt scaling must be applied to prevent elevated false alarms.</w:t>
      </w:r>
    </w:p>
    <w:p>
      <w:pPr>
        <w:spacing w:after="100" w:line="276" w:lineRule="auto"/>
        <w:jc w:val="both"/>
      </w:pPr>
      <w:r>
        <w:rPr>
          <w:rFonts w:ascii="Times New Roman" w:hAnsi="Times New Roman"/>
          <w:b w:val="0"/>
          <w:i w:val="0"/>
          <w:sz w:val="21"/>
        </w:rPr>
        <w:t>2. Synthetic Trait Noise: The benchmark dataset incorporates 5.0% injected trait and label noise. While representative of human data entry errors, it does not fully replicate external market shocks.</w:t>
      </w:r>
    </w:p>
    <w:p>
      <w:pPr>
        <w:spacing w:after="100" w:line="276" w:lineRule="auto"/>
        <w:jc w:val="both"/>
      </w:pPr>
      <w:r>
        <w:rPr>
          <w:rFonts w:ascii="Times New Roman" w:hAnsi="Times New Roman"/>
          <w:b w:val="0"/>
          <w:i w:val="0"/>
          <w:sz w:val="21"/>
        </w:rPr>
        <w:t>3. Observational vs. Causal Interventions: Projected net financial gains (+$151,850) are derived from an analytical simulation (r=0.50, V=$500); randomized controlled trials (A/B testing) in live call centers are necessary to measure actual empirical offer acceptance rates.</w:t>
      </w:r>
    </w:p>
    <w:p>
      <w:pPr>
        <w:spacing w:after="100" w:line="276" w:lineRule="auto"/>
        <w:jc w:val="both"/>
      </w:pPr>
      <w:r>
        <w:rPr>
          <w:rFonts w:ascii="Times New Roman" w:hAnsi="Times New Roman"/>
          <w:b w:val="0"/>
          <w:i w:val="0"/>
          <w:sz w:val="21"/>
        </w:rPr>
        <w:t>4. SHAP-LIME Explainer Divergence: The observed weak correlation (rho = 0.2421) highlights that local explainers can disagree, emphasizing the need for transparent validation.</w:t>
      </w:r>
    </w:p>
    <w:p>
      <w:pPr>
        <w:keepNext/>
        <w:spacing w:before="280" w:after="120"/>
      </w:pPr>
      <w:r>
        <w:rPr>
          <w:rFonts w:ascii="Times New Roman" w:hAnsi="Times New Roman"/>
          <w:b/>
          <w:color w:val="111827"/>
          <w:sz w:val="26"/>
        </w:rPr>
        <w:t>11. CONCLUSION</w:t>
      </w:r>
    </w:p>
    <w:p>
      <w:pPr>
        <w:spacing w:after="100" w:line="276" w:lineRule="auto"/>
        <w:jc w:val="both"/>
      </w:pPr>
      <w:r>
        <w:rPr>
          <w:rFonts w:ascii="Times New Roman" w:hAnsi="Times New Roman"/>
          <w:b w:val="0"/>
          <w:i w:val="0"/>
          <w:sz w:val="21"/>
        </w:rPr>
        <w:t>This paper presented an explainable stacking ensemble learning framework for telecommunication customer churn prediction and retention decision support. By combining Random Forest, XGBoost, and LightGBM through an L2-penalized Logistic Regression meta-learner, the architecture achieved superior True Churner detection (Recall of 95.4%), balanced Accuracy (95.6%), high discriminative power (ROC-AUC 99.0%), and probability calibration (Brier score 0.0346) on a 1,600 held-out test cohort. Cost-sensitive threshold tuning established an optimal decision boundary at tau* = 0.26, generating an estimated net financial benefit of +$151,850 over the test cohort. TreeSHAP attribution unpacked individual customer attrition drivers, driving state-aware prescriptive retention recommendations through a deployed web platform.</w:t>
      </w:r>
    </w:p>
    <w:p>
      <w:pPr>
        <w:keepNext/>
        <w:spacing w:before="280" w:after="120"/>
      </w:pPr>
      <w:r>
        <w:rPr>
          <w:rFonts w:ascii="Times New Roman" w:hAnsi="Times New Roman"/>
          <w:b/>
          <w:color w:val="111827"/>
          <w:sz w:val="26"/>
        </w:rPr>
        <w:t>REFERENCES</w:t>
      </w:r>
    </w:p>
    <w:p>
      <w:pPr>
        <w:spacing w:after="80"/>
        <w:ind w:left="432" w:hanging="432"/>
      </w:pPr>
      <w:r>
        <w:rPr>
          <w:rFonts w:ascii="Times New Roman" w:hAnsi="Times New Roman"/>
          <w:sz w:val="19"/>
        </w:rPr>
        <w:t>[1] L. Breiman, 'Random Forests,' Machine Learning, vol. 45, no. 1, pp. 5–32, Oct. 2001.</w:t>
      </w:r>
    </w:p>
    <w:p>
      <w:pPr>
        <w:spacing w:after="80"/>
        <w:ind w:left="432" w:hanging="432"/>
      </w:pPr>
      <w:r>
        <w:rPr>
          <w:rFonts w:ascii="Times New Roman" w:hAnsi="Times New Roman"/>
          <w:sz w:val="19"/>
        </w:rPr>
        <w:t>[2] T. Chen and C. Guestrin, 'XGBoost: A Scalable Tree Boosting System,' in Proc. 22nd ACM SIGKDD Int. Conf. Knowl. Discovery Data Mining, San Francisco, CA, USA, 2016, pp. 785–794.</w:t>
      </w:r>
    </w:p>
    <w:p>
      <w:pPr>
        <w:spacing w:after="80"/>
        <w:ind w:left="432" w:hanging="432"/>
      </w:pPr>
      <w:r>
        <w:rPr>
          <w:rFonts w:ascii="Times New Roman" w:hAnsi="Times New Roman"/>
          <w:sz w:val="19"/>
        </w:rPr>
        <w:t>[3] G. Ke, Q. Meng, T. Finley, T. Wang, W. Chen, W. Ma, Q. Ye, and T.-Y. Liu, 'LightGBM: A Highly Efficient Gradient Boosting Decision Tree,' in Advances in Neural Information Processing Systems (NeurIPS), vol. 30, Long Beach, CA, USA, 2017, pp. 3146–3154.</w:t>
      </w:r>
    </w:p>
    <w:p>
      <w:pPr>
        <w:spacing w:after="80"/>
        <w:ind w:left="432" w:hanging="432"/>
      </w:pPr>
      <w:r>
        <w:rPr>
          <w:rFonts w:ascii="Times New Roman" w:hAnsi="Times New Roman"/>
          <w:sz w:val="19"/>
        </w:rPr>
        <w:t>[4] S. M. Lundberg and S.-I. Lee, 'A Unified Approach to Interpreting Model Predictions,' in Advances in Neural Information Processing Systems (NeurIPS), vol. 30, Long Beach, CA, USA, 2017, pp. 4765–4774.</w:t>
      </w:r>
    </w:p>
    <w:p>
      <w:pPr>
        <w:spacing w:after="80"/>
        <w:ind w:left="432" w:hanging="432"/>
      </w:pPr>
      <w:r>
        <w:rPr>
          <w:rFonts w:ascii="Times New Roman" w:hAnsi="Times New Roman"/>
          <w:sz w:val="19"/>
        </w:rPr>
        <w:t>[5] M. T. Ribeiro, S. Singh, and C. Guestrin, ''Why Should I Trust You?': Explaining the Predictions of Any Classifier,' in Proc. 22nd ACM SIGKDD Int. Conf. Knowl. Discovery Data Mining, San Francisco, CA, USA, 2016, pp. 1135–1144.</w:t>
      </w:r>
    </w:p>
    <w:p>
      <w:pPr>
        <w:spacing w:after="80"/>
        <w:ind w:left="432" w:hanging="432"/>
      </w:pPr>
      <w:r>
        <w:rPr>
          <w:rFonts w:ascii="Times New Roman" w:hAnsi="Times New Roman"/>
          <w:sz w:val="19"/>
        </w:rPr>
        <w:t>[6] W. Verbeke, D. Martens, C. Mues, and B. Baesens, 'Building Comprehensible Customer Churn Prediction Models with Advanced Rule Induction Techniques,' IEEE Trans. Knowl. Data Eng., vol. 24, no. 12, pp. 2100–2113, Dec. 2012.</w:t>
      </w:r>
    </w:p>
    <w:p>
      <w:pPr>
        <w:spacing w:after="80"/>
        <w:ind w:left="432" w:hanging="432"/>
      </w:pPr>
      <w:r>
        <w:rPr>
          <w:rFonts w:ascii="Times New Roman" w:hAnsi="Times New Roman"/>
          <w:sz w:val="19"/>
        </w:rPr>
        <w:t>[7] T. Vafeiadis, K. I. Diamantaras, G. Sarigiannidis, and K. C. Chatzisavvas, 'A Comparison of Machine Learning Techniques for Customer Churn Prediction,' Simulation Modelling Practice and Theory, vol. 55, pp. 1–9, Jun. 2015.</w:t>
      </w:r>
    </w:p>
    <w:p>
      <w:pPr>
        <w:spacing w:after="80"/>
        <w:ind w:left="432" w:hanging="432"/>
      </w:pPr>
      <w:r>
        <w:rPr>
          <w:rFonts w:ascii="Times New Roman" w:hAnsi="Times New Roman"/>
          <w:sz w:val="19"/>
        </w:rPr>
        <w:t>[8] C. Stripling, S. vanden Broucke, K. Antonio, and B. Baesens, 'Profit-Maximizing Feature Selection and Ensembling for Customer Churn Prediction,' Decision Support Systems, vol. 106, pp. 82–95, Feb. 2018.</w:t>
      </w:r>
    </w:p>
    <w:p>
      <w:pPr>
        <w:spacing w:after="80"/>
        <w:ind w:left="432" w:hanging="432"/>
      </w:pPr>
      <w:r>
        <w:rPr>
          <w:rFonts w:ascii="Times New Roman" w:hAnsi="Times New Roman"/>
          <w:sz w:val="19"/>
        </w:rPr>
        <w:t>[9] G. W. Brier, 'Verification of Forecasts Expressed in Terms of Probability,' Monthly Weather Review, vol. 78, no. 1, pp. 1–3, Jan. 1950.</w:t>
      </w:r>
    </w:p>
    <w:p>
      <w:pPr>
        <w:spacing w:after="80"/>
        <w:ind w:left="432" w:hanging="432"/>
      </w:pPr>
      <w:r>
        <w:rPr>
          <w:rFonts w:ascii="Times New Roman" w:hAnsi="Times New Roman"/>
          <w:sz w:val="19"/>
        </w:rPr>
        <w:t>[10] C. Elkan, 'The Foundations of Cost-Sensitive Learning,' in Proc. 17th Int. Joint Conf. Artificial Intelligence (IJCAI), Seattle, WA, USA, 2001, pp. 973–978.</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