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3505" w14:textId="77777777" w:rsidR="000246B0" w:rsidRDefault="000246B0" w:rsidP="000246B0">
      <w:pPr>
        <w:jc w:val="center"/>
        <w:rPr>
          <w:b/>
          <w:bCs/>
          <w:sz w:val="28"/>
          <w:szCs w:val="28"/>
        </w:rPr>
      </w:pPr>
      <w:r w:rsidRPr="000246B0">
        <w:rPr>
          <w:b/>
          <w:bCs/>
          <w:sz w:val="28"/>
          <w:szCs w:val="28"/>
        </w:rPr>
        <w:t>BUSINESS INSIGHTS</w:t>
      </w:r>
    </w:p>
    <w:p w14:paraId="22693884" w14:textId="77777777" w:rsidR="000246B0" w:rsidRPr="000246B0" w:rsidRDefault="000246B0" w:rsidP="000246B0">
      <w:pPr>
        <w:jc w:val="center"/>
        <w:rPr>
          <w:b/>
          <w:bCs/>
          <w:sz w:val="28"/>
          <w:szCs w:val="28"/>
        </w:rPr>
      </w:pPr>
    </w:p>
    <w:p w14:paraId="2C4FE4FF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1. Overall Attrition is Relatively High</w:t>
      </w:r>
    </w:p>
    <w:p w14:paraId="1010DEDC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The overall attrition rate is </w:t>
      </w:r>
      <w:r w:rsidRPr="000246B0">
        <w:rPr>
          <w:b/>
          <w:bCs/>
        </w:rPr>
        <w:t>18.05%</w:t>
      </w:r>
      <w:r w:rsidRPr="000246B0">
        <w:t xml:space="preserve">, with </w:t>
      </w:r>
      <w:r w:rsidRPr="000246B0">
        <w:rPr>
          <w:b/>
          <w:bCs/>
        </w:rPr>
        <w:t>899 employees leaving out of a total workforce of 4,980</w:t>
      </w:r>
      <w:r w:rsidRPr="000246B0">
        <w:t>.</w:t>
      </w:r>
    </w:p>
    <w:p w14:paraId="724257B0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A relatively high number of employee exits can increase recruitment, replacement and training efforts and may affect workforce stability.</w:t>
      </w:r>
    </w:p>
    <w:p w14:paraId="762AFCDC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focus on targeted retention initiatives, especially in departments and employee groups where attrition is higher than the overall company average.</w:t>
      </w:r>
    </w:p>
    <w:p w14:paraId="6A3382EC" w14:textId="77777777" w:rsidR="000246B0" w:rsidRPr="000246B0" w:rsidRDefault="000246B0" w:rsidP="000246B0">
      <w:r w:rsidRPr="000246B0">
        <w:pict w14:anchorId="3B5C6A4E">
          <v:rect id="_x0000_i1109" style="width:0;height:1.5pt" o:hralign="center" o:hrstd="t" o:hr="t" fillcolor="#a0a0a0" stroked="f"/>
        </w:pict>
      </w:r>
    </w:p>
    <w:p w14:paraId="55329371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2. Engineering Has the Highest Attrition</w:t>
      </w:r>
    </w:p>
    <w:p w14:paraId="104F2B9F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</w:t>
      </w:r>
      <w:r w:rsidRPr="000246B0">
        <w:rPr>
          <w:b/>
          <w:bCs/>
        </w:rPr>
        <w:t>Engineering has the highest attrition rate at 22%</w:t>
      </w:r>
      <w:r w:rsidRPr="000246B0">
        <w:t xml:space="preserve">, followed by </w:t>
      </w:r>
      <w:r w:rsidRPr="000246B0">
        <w:rPr>
          <w:b/>
          <w:bCs/>
        </w:rPr>
        <w:t>HR at 21%</w:t>
      </w:r>
      <w:r w:rsidRPr="000246B0">
        <w:t xml:space="preserve"> and </w:t>
      </w:r>
      <w:r w:rsidRPr="000246B0">
        <w:rPr>
          <w:b/>
          <w:bCs/>
        </w:rPr>
        <w:t>Finance at 20%</w:t>
      </w:r>
      <w:r w:rsidRPr="000246B0">
        <w:t>.</w:t>
      </w:r>
    </w:p>
    <w:p w14:paraId="484936DF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Higher attrition in these departments can create staffing gaps and may put additional pressure on existing employees.</w:t>
      </w:r>
    </w:p>
    <w:p w14:paraId="3BCAE71F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conduct department-specific reviews covering workload, career opportunities, salary structure and management support.</w:t>
      </w:r>
    </w:p>
    <w:p w14:paraId="72116F7E" w14:textId="77777777" w:rsidR="000246B0" w:rsidRPr="000246B0" w:rsidRDefault="000246B0" w:rsidP="000246B0">
      <w:r w:rsidRPr="000246B0">
        <w:pict w14:anchorId="63670B6D">
          <v:rect id="_x0000_i1110" style="width:0;height:1.5pt" o:hralign="center" o:hrstd="t" o:hr="t" fillcolor="#a0a0a0" stroked="f"/>
        </w:pict>
      </w:r>
    </w:p>
    <w:p w14:paraId="21EF2FCF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3. IT Shows Comparatively Lower Attrition</w:t>
      </w:r>
    </w:p>
    <w:p w14:paraId="7009D590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IT has a relatively lower attrition rate of </w:t>
      </w:r>
      <w:r w:rsidRPr="000246B0">
        <w:rPr>
          <w:b/>
          <w:bCs/>
        </w:rPr>
        <w:t>15%</w:t>
      </w:r>
      <w:r w:rsidRPr="000246B0">
        <w:t xml:space="preserve">, compared with </w:t>
      </w:r>
      <w:r w:rsidRPr="000246B0">
        <w:rPr>
          <w:b/>
          <w:bCs/>
        </w:rPr>
        <w:t>22% in Engineering</w:t>
      </w:r>
      <w:r w:rsidRPr="000246B0">
        <w:t>.</w:t>
      </w:r>
    </w:p>
    <w:p w14:paraId="4452EC73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The lower rate indicates comparatively better workforce stability in IT.</w:t>
      </w:r>
    </w:p>
    <w:p w14:paraId="3C45CA6C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can study the practices followed in lower-attrition departments and consider applying suitable practices to departments with higher employee turnover.</w:t>
      </w:r>
    </w:p>
    <w:p w14:paraId="5C73787C" w14:textId="77777777" w:rsidR="000246B0" w:rsidRPr="000246B0" w:rsidRDefault="000246B0" w:rsidP="000246B0">
      <w:r w:rsidRPr="000246B0">
        <w:pict w14:anchorId="032E2D51">
          <v:rect id="_x0000_i1111" style="width:0;height:1.5pt" o:hralign="center" o:hrstd="t" o:hr="t" fillcolor="#a0a0a0" stroked="f"/>
        </w:pict>
      </w:r>
    </w:p>
    <w:p w14:paraId="54E2126D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4. Younger Employees Are More Likely to Leave</w:t>
      </w:r>
    </w:p>
    <w:p w14:paraId="7FE9B038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Employees in the </w:t>
      </w:r>
      <w:r w:rsidRPr="000246B0">
        <w:rPr>
          <w:b/>
          <w:bCs/>
        </w:rPr>
        <w:t>20–24 age group have the highest attrition rate at 31%</w:t>
      </w:r>
      <w:r w:rsidRPr="000246B0">
        <w:t xml:space="preserve">, followed by the </w:t>
      </w:r>
      <w:r w:rsidRPr="000246B0">
        <w:rPr>
          <w:b/>
          <w:bCs/>
        </w:rPr>
        <w:t>25–29 group at 24%</w:t>
      </w:r>
      <w:r w:rsidRPr="000246B0">
        <w:t>.</w:t>
      </w:r>
    </w:p>
    <w:p w14:paraId="431A3F44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Early-career employees appear to be more vulnerable to leaving the organization.</w:t>
      </w:r>
    </w:p>
    <w:p w14:paraId="60F9F555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The company should strengthen onboarding, mentoring, career discussions and early-career development programs to improve retention.</w:t>
      </w:r>
    </w:p>
    <w:p w14:paraId="7045B1B7" w14:textId="77777777" w:rsidR="000246B0" w:rsidRPr="000246B0" w:rsidRDefault="000246B0" w:rsidP="000246B0">
      <w:r w:rsidRPr="000246B0">
        <w:lastRenderedPageBreak/>
        <w:pict w14:anchorId="1D8D324D">
          <v:rect id="_x0000_i1112" style="width:0;height:1.5pt" o:hralign="center" o:hrstd="t" o:hr="t" fillcolor="#a0a0a0" stroked="f"/>
        </w:pict>
      </w:r>
    </w:p>
    <w:p w14:paraId="3CBFB2A4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5. Attrition Generally Falls Among Older Age Groups</w:t>
      </w:r>
    </w:p>
    <w:p w14:paraId="21350C7B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Attrition comes down to around </w:t>
      </w:r>
      <w:r w:rsidRPr="000246B0">
        <w:rPr>
          <w:b/>
          <w:bCs/>
        </w:rPr>
        <w:t>11–16% for most age groups above 30</w:t>
      </w:r>
      <w:r w:rsidRPr="000246B0">
        <w:t>, compared with 31% for employees aged 20–24.</w:t>
      </w:r>
    </w:p>
    <w:p w14:paraId="0B2C886E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This pattern indicates that retention challenges are more concentrated among younger employees.</w:t>
      </w:r>
    </w:p>
    <w:p w14:paraId="467A8AD9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consider age and career-stage-specific retention strategies instead of using the same approach for the entire workforce.</w:t>
      </w:r>
    </w:p>
    <w:p w14:paraId="662D8B16" w14:textId="77777777" w:rsidR="000246B0" w:rsidRPr="000246B0" w:rsidRDefault="000246B0" w:rsidP="000246B0">
      <w:r w:rsidRPr="000246B0">
        <w:pict w14:anchorId="4CCF7E74">
          <v:rect id="_x0000_i1113" style="width:0;height:1.5pt" o:hralign="center" o:hrstd="t" o:hr="t" fillcolor="#a0a0a0" stroked="f"/>
        </w:pict>
      </w:r>
    </w:p>
    <w:p w14:paraId="7C3DA62D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6. The Lowest Salary Band Has the Highest Attrition</w:t>
      </w:r>
    </w:p>
    <w:p w14:paraId="641D0EB9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Employees in the </w:t>
      </w:r>
      <w:r w:rsidRPr="000246B0">
        <w:rPr>
          <w:b/>
          <w:bCs/>
        </w:rPr>
        <w:t>0–₹4.99 lakh salary band have the highest attrition rate at 35%</w:t>
      </w:r>
      <w:r w:rsidRPr="000246B0">
        <w:t>.</w:t>
      </w:r>
    </w:p>
    <w:p w14:paraId="49CAAB25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Higher turnover in the lower salary segment may increase replacement costs and affect employee continuity.</w:t>
      </w:r>
    </w:p>
    <w:p w14:paraId="7F147F68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review salary competitiveness, salary progression and opportunities for career advancement for employees in the lower salary bands.</w:t>
      </w:r>
    </w:p>
    <w:p w14:paraId="5068B83C" w14:textId="77777777" w:rsidR="000246B0" w:rsidRPr="000246B0" w:rsidRDefault="000246B0" w:rsidP="000246B0">
      <w:r w:rsidRPr="000246B0">
        <w:pict w14:anchorId="4F3307C0">
          <v:rect id="_x0000_i1114" style="width:0;height:1.5pt" o:hralign="center" o:hrstd="t" o:hr="t" fillcolor="#a0a0a0" stroked="f"/>
        </w:pict>
      </w:r>
    </w:p>
    <w:p w14:paraId="5C70AE96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7. Attrition Drops Across the Middle Salary Bands</w:t>
      </w:r>
    </w:p>
    <w:p w14:paraId="69E693B2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Attrition declines from </w:t>
      </w:r>
      <w:r w:rsidRPr="000246B0">
        <w:rPr>
          <w:b/>
          <w:bCs/>
        </w:rPr>
        <w:t>35% in the lowest salary band to 22%, 15% and 12%</w:t>
      </w:r>
      <w:r w:rsidRPr="000246B0">
        <w:t xml:space="preserve"> across the next salary groups.</w:t>
      </w:r>
    </w:p>
    <w:p w14:paraId="4DBD0062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The pattern suggests that compensation level may be one of the factors associated with employee retention.</w:t>
      </w:r>
    </w:p>
    <w:p w14:paraId="66C49EF1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Salary-band analysis should be included in retention planning, especially for roles that show consistently higher turnover.</w:t>
      </w:r>
    </w:p>
    <w:p w14:paraId="2012809C" w14:textId="77777777" w:rsidR="000246B0" w:rsidRPr="000246B0" w:rsidRDefault="000246B0" w:rsidP="000246B0">
      <w:r w:rsidRPr="000246B0">
        <w:pict w14:anchorId="73BD21E5">
          <v:rect id="_x0000_i1115" style="width:0;height:1.5pt" o:hralign="center" o:hrstd="t" o:hr="t" fillcolor="#a0a0a0" stroked="f"/>
        </w:pict>
      </w:r>
    </w:p>
    <w:p w14:paraId="00DC9A39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8. Career Growth Is the Most Common Exit Reason</w:t>
      </w:r>
    </w:p>
    <w:p w14:paraId="2A151D01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</w:t>
      </w:r>
      <w:r w:rsidRPr="000246B0">
        <w:rPr>
          <w:b/>
          <w:bCs/>
        </w:rPr>
        <w:t>Career Growth is responsible for 206 of the 890 recorded exits</w:t>
      </w:r>
      <w:r w:rsidRPr="000246B0">
        <w:t>, making it the most common reason employees leave.</w:t>
      </w:r>
    </w:p>
    <w:p w14:paraId="07066DDC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Employees may be leaving because they do not see sufficient opportunities to grow or progress within the organization.</w:t>
      </w:r>
    </w:p>
    <w:p w14:paraId="1CB13C45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Management should provide clearer career paths, promotion criteria, skill-development programs and internal job opportunities.</w:t>
      </w:r>
    </w:p>
    <w:p w14:paraId="5661ECC2" w14:textId="77777777" w:rsidR="000246B0" w:rsidRPr="000246B0" w:rsidRDefault="000246B0" w:rsidP="000246B0">
      <w:r w:rsidRPr="000246B0">
        <w:lastRenderedPageBreak/>
        <w:pict w14:anchorId="39CA4388">
          <v:rect id="_x0000_i1116" style="width:0;height:1.5pt" o:hralign="center" o:hrstd="t" o:hr="t" fillcolor="#a0a0a0" stroked="f"/>
        </w:pict>
      </w:r>
    </w:p>
    <w:p w14:paraId="05C4ADD4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9. Salary Is the Second-Most Common Exit Reason</w:t>
      </w:r>
    </w:p>
    <w:p w14:paraId="654D43A1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</w:t>
      </w:r>
      <w:r w:rsidRPr="000246B0">
        <w:rPr>
          <w:b/>
          <w:bCs/>
        </w:rPr>
        <w:t>173 recorded exits are associated with Salary</w:t>
      </w:r>
      <w:r w:rsidRPr="000246B0">
        <w:t>, making it the second-largest exit reason.</w:t>
      </w:r>
    </w:p>
    <w:p w14:paraId="6028585E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Compensation concerns may be influencing employees' decisions to move to other opportunities.</w:t>
      </w:r>
    </w:p>
    <w:p w14:paraId="06D30909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regularly benchmark salaries against the market and review compensation growth for roles with higher turnover.</w:t>
      </w:r>
    </w:p>
    <w:p w14:paraId="690E4D8C" w14:textId="77777777" w:rsidR="000246B0" w:rsidRPr="000246B0" w:rsidRDefault="000246B0" w:rsidP="000246B0">
      <w:r w:rsidRPr="000246B0">
        <w:pict w14:anchorId="1F8D7D45">
          <v:rect id="_x0000_i1117" style="width:0;height:1.5pt" o:hralign="center" o:hrstd="t" o:hr="t" fillcolor="#a0a0a0" stroked="f"/>
        </w:pict>
      </w:r>
    </w:p>
    <w:p w14:paraId="64C1E54D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10. Work-Life Balance Is Also a Major Concern</w:t>
      </w:r>
    </w:p>
    <w:p w14:paraId="7D8694F5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</w:t>
      </w:r>
      <w:r w:rsidRPr="000246B0">
        <w:rPr>
          <w:b/>
          <w:bCs/>
        </w:rPr>
        <w:t>160 exits are linked to Work-Life Balance</w:t>
      </w:r>
      <w:r w:rsidRPr="000246B0">
        <w:t>, making it one of the major reasons employees leave.</w:t>
      </w:r>
    </w:p>
    <w:p w14:paraId="2F0D80FA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Poor work-life balance can affect employee satisfaction and may contribute to higher turnover.</w:t>
      </w:r>
    </w:p>
    <w:p w14:paraId="3419C7F8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review workload distribution, overtime practices, staffing levels and flexible-work options in departments where this issue is more visible.</w:t>
      </w:r>
    </w:p>
    <w:p w14:paraId="5C194411" w14:textId="77777777" w:rsidR="000246B0" w:rsidRPr="000246B0" w:rsidRDefault="000246B0" w:rsidP="000246B0">
      <w:r w:rsidRPr="000246B0">
        <w:pict w14:anchorId="120B70C6">
          <v:rect id="_x0000_i1118" style="width:0;height:1.5pt" o:hralign="center" o:hrstd="t" o:hr="t" fillcolor="#a0a0a0" stroked="f"/>
        </w:pict>
      </w:r>
    </w:p>
    <w:p w14:paraId="50552B3F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11. Three Main Reasons Account for Most Recorded Exits</w:t>
      </w:r>
    </w:p>
    <w:p w14:paraId="6E68FF61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</w:t>
      </w:r>
      <w:r w:rsidRPr="000246B0">
        <w:rPr>
          <w:b/>
          <w:bCs/>
        </w:rPr>
        <w:t>Career Growth, Salary and Work-Life Balance together account for 539 of 890 exits, or approximately 60.6%</w:t>
      </w:r>
      <w:r w:rsidRPr="000246B0">
        <w:t>.</w:t>
      </w:r>
    </w:p>
    <w:p w14:paraId="4D1A10DE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A large portion of employee exits is concentrated around just a few major themes.</w:t>
      </w:r>
    </w:p>
    <w:p w14:paraId="7C05EC63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The company should prioritize career development, competitive compensation and work-life balance initiatives before focusing heavily on less frequent exit reasons.</w:t>
      </w:r>
    </w:p>
    <w:p w14:paraId="0A4A86B5" w14:textId="77777777" w:rsidR="000246B0" w:rsidRPr="000246B0" w:rsidRDefault="000246B0" w:rsidP="000246B0">
      <w:r w:rsidRPr="000246B0">
        <w:pict w14:anchorId="5BF211F4">
          <v:rect id="_x0000_i1119" style="width:0;height:1.5pt" o:hralign="center" o:hrstd="t" o:hr="t" fillcolor="#a0a0a0" stroked="f"/>
        </w:pict>
      </w:r>
    </w:p>
    <w:p w14:paraId="681E813A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12. Voluntary Exits Are Much Higher Than Involuntary Exits</w:t>
      </w:r>
    </w:p>
    <w:p w14:paraId="7550861A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The attrition data shows </w:t>
      </w:r>
      <w:r w:rsidRPr="000246B0">
        <w:rPr>
          <w:b/>
          <w:bCs/>
        </w:rPr>
        <w:t>732 voluntary exits</w:t>
      </w:r>
      <w:r w:rsidRPr="000246B0">
        <w:t xml:space="preserve">, compared with </w:t>
      </w:r>
      <w:r w:rsidRPr="000246B0">
        <w:rPr>
          <w:b/>
          <w:bCs/>
        </w:rPr>
        <w:t>153 involuntary exits</w:t>
      </w:r>
      <w:r w:rsidRPr="000246B0">
        <w:t xml:space="preserve"> and </w:t>
      </w:r>
      <w:r w:rsidRPr="000246B0">
        <w:rPr>
          <w:b/>
          <w:bCs/>
        </w:rPr>
        <w:t>5 unknown cases</w:t>
      </w:r>
      <w:r w:rsidRPr="000246B0">
        <w:t>.</w:t>
      </w:r>
    </w:p>
    <w:p w14:paraId="2D359333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Since most recorded exits are voluntary, employee retention appears to be an important area for HR intervention.</w:t>
      </w:r>
    </w:p>
    <w:p w14:paraId="7B5CD9D3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make greater use of exit interviews and early-warning indicators to identify employees who may be considering leaving.</w:t>
      </w:r>
    </w:p>
    <w:p w14:paraId="341D6CBD" w14:textId="77777777" w:rsidR="000246B0" w:rsidRPr="000246B0" w:rsidRDefault="000246B0" w:rsidP="000246B0">
      <w:r w:rsidRPr="000246B0">
        <w:lastRenderedPageBreak/>
        <w:pict w14:anchorId="70A7960E">
          <v:rect id="_x0000_i1120" style="width:0;height:1.5pt" o:hralign="center" o:hrstd="t" o:hr="t" fillcolor="#a0a0a0" stroked="f"/>
        </w:pict>
      </w:r>
    </w:p>
    <w:p w14:paraId="67E15684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13. A Large Share of Exits Happens During the First Two Years</w:t>
      </w:r>
    </w:p>
    <w:p w14:paraId="4AC0E736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The </w:t>
      </w:r>
      <w:r w:rsidRPr="000246B0">
        <w:rPr>
          <w:b/>
          <w:bCs/>
        </w:rPr>
        <w:t>0–</w:t>
      </w:r>
      <w:proofErr w:type="gramStart"/>
      <w:r w:rsidRPr="000246B0">
        <w:rPr>
          <w:b/>
          <w:bCs/>
        </w:rPr>
        <w:t>11 month</w:t>
      </w:r>
      <w:proofErr w:type="gramEnd"/>
      <w:r w:rsidRPr="000246B0">
        <w:rPr>
          <w:b/>
          <w:bCs/>
        </w:rPr>
        <w:t xml:space="preserve"> group recorded 187 exits</w:t>
      </w:r>
      <w:r w:rsidRPr="000246B0">
        <w:t xml:space="preserve">, while the </w:t>
      </w:r>
      <w:r w:rsidRPr="000246B0">
        <w:rPr>
          <w:b/>
          <w:bCs/>
        </w:rPr>
        <w:t>12–</w:t>
      </w:r>
      <w:proofErr w:type="gramStart"/>
      <w:r w:rsidRPr="000246B0">
        <w:rPr>
          <w:b/>
          <w:bCs/>
        </w:rPr>
        <w:t>23 month</w:t>
      </w:r>
      <w:proofErr w:type="gramEnd"/>
      <w:r w:rsidRPr="000246B0">
        <w:rPr>
          <w:b/>
          <w:bCs/>
        </w:rPr>
        <w:t xml:space="preserve"> group recorded 201 exits</w:t>
      </w:r>
      <w:r w:rsidRPr="000246B0">
        <w:t xml:space="preserve">. Together, these account for </w:t>
      </w:r>
      <w:r w:rsidRPr="000246B0">
        <w:rPr>
          <w:b/>
          <w:bCs/>
        </w:rPr>
        <w:t xml:space="preserve">388 exits, approximately 43.6% of the 890 </w:t>
      </w:r>
      <w:proofErr w:type="spellStart"/>
      <w:r w:rsidRPr="000246B0">
        <w:rPr>
          <w:b/>
          <w:bCs/>
        </w:rPr>
        <w:t>analyzed</w:t>
      </w:r>
      <w:proofErr w:type="spellEnd"/>
      <w:r w:rsidRPr="000246B0">
        <w:rPr>
          <w:b/>
          <w:bCs/>
        </w:rPr>
        <w:t xml:space="preserve"> exits</w:t>
      </w:r>
      <w:r w:rsidRPr="000246B0">
        <w:t>.</w:t>
      </w:r>
    </w:p>
    <w:p w14:paraId="6572D39D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A significant share of employee exits happens relatively early in the employee lifecycle.</w:t>
      </w:r>
    </w:p>
    <w:p w14:paraId="012D1571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The organization should strengthen onboarding follow-ups, manager check-ins, mentoring and career discussions during the first two years.</w:t>
      </w:r>
    </w:p>
    <w:p w14:paraId="399C36A4" w14:textId="77777777" w:rsidR="000246B0" w:rsidRPr="000246B0" w:rsidRDefault="000246B0" w:rsidP="000246B0">
      <w:r w:rsidRPr="000246B0">
        <w:pict w14:anchorId="68347DCF">
          <v:rect id="_x0000_i1121" style="width:0;height:1.5pt" o:hralign="center" o:hrstd="t" o:hr="t" fillcolor="#a0a0a0" stroked="f"/>
        </w:pict>
      </w:r>
    </w:p>
    <w:p w14:paraId="38E8F9F6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14. Medium-Risk Employees Form the Largest Risk Group</w:t>
      </w:r>
    </w:p>
    <w:p w14:paraId="5CCA2323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</w:t>
      </w:r>
      <w:r w:rsidRPr="000246B0">
        <w:rPr>
          <w:b/>
          <w:bCs/>
        </w:rPr>
        <w:t>2,843 employees, or 57.09% of the workforce, are classified as Medium Risk</w:t>
      </w:r>
      <w:r w:rsidRPr="000246B0">
        <w:t>, compared with 905 High-Risk and 50 Critical-Risk employees.</w:t>
      </w:r>
    </w:p>
    <w:p w14:paraId="51B2EE93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The Medium-Risk population is large enough that even a small deterioration in engagement or working conditions could increase the number of employees moving into higher-risk categories.</w:t>
      </w:r>
    </w:p>
    <w:p w14:paraId="587756B7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should introduce preventive actions for Medium-Risk employees instead of waiting until employees reach High or Critical Risk.</w:t>
      </w:r>
    </w:p>
    <w:p w14:paraId="75469819" w14:textId="77777777" w:rsidR="000246B0" w:rsidRPr="000246B0" w:rsidRDefault="000246B0" w:rsidP="000246B0">
      <w:r w:rsidRPr="000246B0">
        <w:pict w14:anchorId="40CB6F9A">
          <v:rect id="_x0000_i1122" style="width:0;height:1.5pt" o:hralign="center" o:hrstd="t" o:hr="t" fillcolor="#a0a0a0" stroked="f"/>
        </w:pict>
      </w:r>
    </w:p>
    <w:p w14:paraId="3045ED52" w14:textId="77777777" w:rsidR="000246B0" w:rsidRPr="000246B0" w:rsidRDefault="000246B0" w:rsidP="000246B0">
      <w:pPr>
        <w:rPr>
          <w:b/>
          <w:bCs/>
        </w:rPr>
      </w:pPr>
      <w:r w:rsidRPr="000246B0">
        <w:rPr>
          <w:b/>
          <w:bCs/>
        </w:rPr>
        <w:t>15. High- and Critical-Risk Employees Need Priority Attention</w:t>
      </w:r>
    </w:p>
    <w:p w14:paraId="05AE2E8C" w14:textId="77777777" w:rsidR="000246B0" w:rsidRPr="000246B0" w:rsidRDefault="000246B0" w:rsidP="000246B0">
      <w:r w:rsidRPr="000246B0">
        <w:rPr>
          <w:b/>
          <w:bCs/>
        </w:rPr>
        <w:t>Finding:</w:t>
      </w:r>
      <w:r w:rsidRPr="000246B0">
        <w:t xml:space="preserve"> There are </w:t>
      </w:r>
      <w:r w:rsidRPr="000246B0">
        <w:rPr>
          <w:b/>
          <w:bCs/>
        </w:rPr>
        <w:t>905 High-Risk and 50 Critical-Risk employees</w:t>
      </w:r>
      <w:r w:rsidRPr="000246B0">
        <w:t xml:space="preserve">, giving a combined total of </w:t>
      </w:r>
      <w:r w:rsidRPr="000246B0">
        <w:rPr>
          <w:b/>
          <w:bCs/>
        </w:rPr>
        <w:t>955 employees</w:t>
      </w:r>
      <w:r w:rsidRPr="000246B0">
        <w:t xml:space="preserve">, or approximately </w:t>
      </w:r>
      <w:r w:rsidRPr="000246B0">
        <w:rPr>
          <w:b/>
          <w:bCs/>
        </w:rPr>
        <w:t>19.2% of the 4,980-employee workforce</w:t>
      </w:r>
      <w:r w:rsidRPr="000246B0">
        <w:t>.</w:t>
      </w:r>
    </w:p>
    <w:p w14:paraId="063C567A" w14:textId="77777777" w:rsidR="000246B0" w:rsidRPr="000246B0" w:rsidRDefault="000246B0" w:rsidP="000246B0">
      <w:r w:rsidRPr="000246B0">
        <w:rPr>
          <w:b/>
          <w:bCs/>
        </w:rPr>
        <w:t>Impact:</w:t>
      </w:r>
      <w:r w:rsidRPr="000246B0">
        <w:t xml:space="preserve"> Nearly one-fifth of the workforce falls into the High or Critical risk categories, making this an important area for management attention.</w:t>
      </w:r>
    </w:p>
    <w:p w14:paraId="53CE40D7" w14:textId="77777777" w:rsidR="000246B0" w:rsidRPr="000246B0" w:rsidRDefault="000246B0" w:rsidP="000246B0">
      <w:r w:rsidRPr="000246B0">
        <w:rPr>
          <w:b/>
          <w:bCs/>
        </w:rPr>
        <w:t>Recommendation:</w:t>
      </w:r>
      <w:r w:rsidRPr="000246B0">
        <w:t xml:space="preserve"> HR and managers should prioritize these employees for retention discussions, career planning, workload review, engagement support and compensation assessment.</w:t>
      </w:r>
    </w:p>
    <w:p w14:paraId="4A30A9CF" w14:textId="77777777" w:rsidR="00AE36AF" w:rsidRDefault="00AE36AF"/>
    <w:sectPr w:rsidR="00AE36AF" w:rsidSect="001326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7911A" w14:textId="77777777" w:rsidR="00164E4F" w:rsidRDefault="00164E4F" w:rsidP="000246B0">
      <w:pPr>
        <w:spacing w:after="0" w:line="240" w:lineRule="auto"/>
      </w:pPr>
      <w:r>
        <w:separator/>
      </w:r>
    </w:p>
  </w:endnote>
  <w:endnote w:type="continuationSeparator" w:id="0">
    <w:p w14:paraId="51177CA4" w14:textId="77777777" w:rsidR="00164E4F" w:rsidRDefault="00164E4F" w:rsidP="00024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A0DC" w14:textId="77777777" w:rsidR="00164E4F" w:rsidRDefault="00164E4F" w:rsidP="000246B0">
      <w:pPr>
        <w:spacing w:after="0" w:line="240" w:lineRule="auto"/>
      </w:pPr>
      <w:r>
        <w:separator/>
      </w:r>
    </w:p>
  </w:footnote>
  <w:footnote w:type="continuationSeparator" w:id="0">
    <w:p w14:paraId="1CE43216" w14:textId="77777777" w:rsidR="00164E4F" w:rsidRDefault="00164E4F" w:rsidP="000246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B0"/>
    <w:rsid w:val="000246B0"/>
    <w:rsid w:val="00130439"/>
    <w:rsid w:val="0013263D"/>
    <w:rsid w:val="00164E4F"/>
    <w:rsid w:val="0034529A"/>
    <w:rsid w:val="00643E79"/>
    <w:rsid w:val="00756D2D"/>
    <w:rsid w:val="008D4C2A"/>
    <w:rsid w:val="00A9019E"/>
    <w:rsid w:val="00AE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3653"/>
  <w15:chartTrackingRefBased/>
  <w15:docId w15:val="{B9A16EE2-E8AE-4E3F-AADA-D6A60566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46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46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B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6B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24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6B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Kamble</dc:creator>
  <cp:keywords/>
  <dc:description/>
  <cp:lastModifiedBy>Ashok Kamble</cp:lastModifiedBy>
  <cp:revision>1</cp:revision>
  <dcterms:created xsi:type="dcterms:W3CDTF">2026-08-29T18:12:00Z</dcterms:created>
  <dcterms:modified xsi:type="dcterms:W3CDTF">2026-08-29T18:33:00Z</dcterms:modified>
</cp:coreProperties>
</file>