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35F3F" w14:textId="77777777" w:rsidR="006E1DD7" w:rsidRDefault="00000000">
      <w:pPr>
        <w:spacing w:before="200" w:after="80"/>
      </w:pPr>
      <w:r>
        <w:rPr>
          <w:b/>
          <w:bCs/>
          <w:color w:val="1F3A5F"/>
          <w:sz w:val="42"/>
          <w:szCs w:val="42"/>
        </w:rPr>
        <w:t>Executive Summary: Customer Churn in European Retail Banking</w:t>
      </w:r>
    </w:p>
    <w:p w14:paraId="4EB9B1A1" w14:textId="77777777" w:rsidR="006E1DD7" w:rsidRDefault="00000000">
      <w:pPr>
        <w:pBdr>
          <w:bottom w:val="single" w:sz="10" w:space="4" w:color="2A9D8F"/>
        </w:pBdr>
        <w:spacing w:after="240"/>
      </w:pPr>
      <w:r>
        <w:rPr>
          <w:color w:val="555555"/>
          <w:sz w:val="23"/>
          <w:szCs w:val="23"/>
        </w:rPr>
        <w:t>Briefing for government and policy stakeholders</w:t>
      </w:r>
    </w:p>
    <w:p w14:paraId="44E03ABD" w14:textId="77777777" w:rsidR="006E1DD7" w:rsidRDefault="00000000">
      <w:pPr>
        <w:pStyle w:val="Heading1"/>
      </w:pPr>
      <w:r>
        <w:t>Purpose</w:t>
      </w:r>
    </w:p>
    <w:p w14:paraId="693A48E9" w14:textId="77777777" w:rsidR="006E1DD7" w:rsidRDefault="00000000">
      <w:pPr>
        <w:spacing w:after="120" w:line="276" w:lineRule="auto"/>
      </w:pPr>
      <w:r>
        <w:t>This briefing summarises an analysis of 10,000 retail bank customers in France, Germany and Spain, identifying which customer groups leave their bank and where retention effort should be focused.</w:t>
      </w:r>
    </w:p>
    <w:p w14:paraId="7C0C1431" w14:textId="77777777" w:rsidR="006E1DD7" w:rsidRDefault="00000000">
      <w:pPr>
        <w:pStyle w:val="Heading1"/>
      </w:pPr>
      <w:r>
        <w:t>Headline findings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5726"/>
      </w:tblGrid>
      <w:tr w:rsidR="006E1DD7" w14:paraId="215BC5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F9E2C" w14:textId="77777777" w:rsidR="006E1DD7" w:rsidRDefault="00000000">
            <w:r>
              <w:rPr>
                <w:b/>
                <w:bCs/>
                <w:color w:val="FFFFFF"/>
                <w:sz w:val="19"/>
                <w:szCs w:val="19"/>
              </w:rPr>
              <w:t>Indicator</w:t>
            </w:r>
          </w:p>
        </w:tc>
        <w:tc>
          <w:tcPr>
            <w:tcW w:w="57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40049" w14:textId="77777777" w:rsidR="006E1DD7" w:rsidRDefault="00000000">
            <w:r>
              <w:rPr>
                <w:b/>
                <w:bCs/>
                <w:color w:val="FFFFFF"/>
                <w:sz w:val="19"/>
                <w:szCs w:val="19"/>
              </w:rPr>
              <w:t>Result</w:t>
            </w:r>
          </w:p>
        </w:tc>
      </w:tr>
      <w:tr w:rsidR="006E1DD7" w14:paraId="79D0026B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7055F" w14:textId="77777777" w:rsidR="006E1DD7" w:rsidRDefault="00000000">
            <w:r>
              <w:rPr>
                <w:sz w:val="19"/>
                <w:szCs w:val="19"/>
              </w:rPr>
              <w:t>Overall churn rate</w:t>
            </w:r>
          </w:p>
        </w:tc>
        <w:tc>
          <w:tcPr>
            <w:tcW w:w="57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5E21C" w14:textId="77777777" w:rsidR="006E1DD7" w:rsidRDefault="00000000">
            <w:r>
              <w:rPr>
                <w:sz w:val="19"/>
                <w:szCs w:val="19"/>
              </w:rPr>
              <w:t>20.4%: about one customer in five (2,037 of 10,000)</w:t>
            </w:r>
          </w:p>
        </w:tc>
      </w:tr>
      <w:tr w:rsidR="006E1DD7" w14:paraId="30FB4863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9B032" w14:textId="77777777" w:rsidR="006E1DD7" w:rsidRDefault="00000000">
            <w:r>
              <w:rPr>
                <w:sz w:val="19"/>
                <w:szCs w:val="19"/>
              </w:rPr>
              <w:t>Highest-risk country</w:t>
            </w:r>
          </w:p>
        </w:tc>
        <w:tc>
          <w:tcPr>
            <w:tcW w:w="57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9309F" w14:textId="77777777" w:rsidR="006E1DD7" w:rsidRDefault="00000000">
            <w:r>
              <w:rPr>
                <w:sz w:val="19"/>
                <w:szCs w:val="19"/>
              </w:rPr>
              <w:t>Germany 32.4%, about double France (16.2%) and Spain (16.7%)</w:t>
            </w:r>
          </w:p>
        </w:tc>
      </w:tr>
      <w:tr w:rsidR="006E1DD7" w14:paraId="4FE6D72B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4C4EC" w14:textId="77777777" w:rsidR="006E1DD7" w:rsidRDefault="00000000">
            <w:r>
              <w:rPr>
                <w:sz w:val="19"/>
                <w:szCs w:val="19"/>
              </w:rPr>
              <w:t>Highest-risk age group</w:t>
            </w:r>
          </w:p>
        </w:tc>
        <w:tc>
          <w:tcPr>
            <w:tcW w:w="57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36C19" w14:textId="77777777" w:rsidR="006E1DD7" w:rsidRDefault="00000000">
            <w:r>
              <w:rPr>
                <w:sz w:val="19"/>
                <w:szCs w:val="19"/>
              </w:rPr>
              <w:t>Aged 46-60: 51.1% churn; 41.3% of all churners</w:t>
            </w:r>
          </w:p>
        </w:tc>
      </w:tr>
      <w:tr w:rsidR="006E1DD7" w14:paraId="2D7D2A4B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96F86" w14:textId="77777777" w:rsidR="006E1DD7" w:rsidRDefault="00000000">
            <w:r>
              <w:rPr>
                <w:sz w:val="19"/>
                <w:szCs w:val="19"/>
              </w:rPr>
              <w:t>Single highest-risk segment</w:t>
            </w:r>
          </w:p>
        </w:tc>
        <w:tc>
          <w:tcPr>
            <w:tcW w:w="57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85EE4" w14:textId="77777777" w:rsidR="006E1DD7" w:rsidRDefault="00000000">
            <w:r>
              <w:rPr>
                <w:sz w:val="19"/>
                <w:szCs w:val="19"/>
              </w:rPr>
              <w:t>German customers aged 46-60: 67.3%</w:t>
            </w:r>
          </w:p>
        </w:tc>
      </w:tr>
      <w:tr w:rsidR="006E1DD7" w14:paraId="216817EE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C5471" w14:textId="77777777" w:rsidR="006E1DD7" w:rsidRDefault="00000000">
            <w:r>
              <w:rPr>
                <w:sz w:val="19"/>
                <w:szCs w:val="19"/>
              </w:rPr>
              <w:t>Engagement</w:t>
            </w:r>
          </w:p>
        </w:tc>
        <w:tc>
          <w:tcPr>
            <w:tcW w:w="57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03AAE" w14:textId="77777777" w:rsidR="006E1DD7" w:rsidRDefault="00000000">
            <w:r>
              <w:rPr>
                <w:sz w:val="19"/>
                <w:szCs w:val="19"/>
              </w:rPr>
              <w:t>Inactive members 26.9% vs active 14.3%</w:t>
            </w:r>
          </w:p>
        </w:tc>
      </w:tr>
      <w:tr w:rsidR="006E1DD7" w14:paraId="456CCC10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ABC89" w14:textId="77777777" w:rsidR="006E1DD7" w:rsidRDefault="00000000">
            <w:r>
              <w:rPr>
                <w:sz w:val="19"/>
                <w:szCs w:val="19"/>
              </w:rPr>
              <w:t>Product holding</w:t>
            </w:r>
          </w:p>
        </w:tc>
        <w:tc>
          <w:tcPr>
            <w:tcW w:w="57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F9AA6" w14:textId="77777777" w:rsidR="006E1DD7" w:rsidRDefault="00000000">
            <w:r>
              <w:rPr>
                <w:sz w:val="19"/>
                <w:szCs w:val="19"/>
              </w:rPr>
              <w:t>2 products: 7.6%; 3 products: 82.7%; 4 products: 100%</w:t>
            </w:r>
          </w:p>
        </w:tc>
      </w:tr>
      <w:tr w:rsidR="006E1DD7" w14:paraId="3345F6C7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D6204" w14:textId="77777777" w:rsidR="006E1DD7" w:rsidRDefault="00000000">
            <w:r>
              <w:rPr>
                <w:sz w:val="19"/>
                <w:szCs w:val="19"/>
              </w:rPr>
              <w:t>High-value customers</w:t>
            </w:r>
          </w:p>
        </w:tc>
        <w:tc>
          <w:tcPr>
            <w:tcW w:w="57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63C59" w14:textId="77777777" w:rsidR="006E1DD7" w:rsidRDefault="00000000">
            <w:r>
              <w:rPr>
                <w:sz w:val="19"/>
                <w:szCs w:val="19"/>
              </w:rPr>
              <w:t>Churn 23.7%, not above other customers, but they hold 47.8% of lost balances</w:t>
            </w:r>
          </w:p>
        </w:tc>
      </w:tr>
      <w:tr w:rsidR="006E1DD7" w14:paraId="7E5AF9DB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8FEF8" w14:textId="77777777" w:rsidR="006E1DD7" w:rsidRDefault="00000000">
            <w:r>
              <w:rPr>
                <w:sz w:val="19"/>
                <w:szCs w:val="19"/>
              </w:rPr>
              <w:t>Financial exposure</w:t>
            </w:r>
          </w:p>
        </w:tc>
        <w:tc>
          <w:tcPr>
            <w:tcW w:w="57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A3F4B" w14:textId="77777777" w:rsidR="006E1DD7" w:rsidRDefault="00000000">
            <w:r>
              <w:rPr>
                <w:sz w:val="19"/>
                <w:szCs w:val="19"/>
              </w:rPr>
              <w:t>185.6M in balances (24.3% of total) held by churned customers</w:t>
            </w:r>
          </w:p>
        </w:tc>
      </w:tr>
    </w:tbl>
    <w:p w14:paraId="0330500E" w14:textId="77777777" w:rsidR="006E1DD7" w:rsidRDefault="006E1DD7">
      <w:pPr>
        <w:spacing w:after="80"/>
      </w:pPr>
    </w:p>
    <w:p w14:paraId="6F7BE88C" w14:textId="77777777" w:rsidR="006E1DD7" w:rsidRDefault="00000000">
      <w:pPr>
        <w:pStyle w:val="Heading1"/>
      </w:pPr>
      <w:r>
        <w:t>What this means</w:t>
      </w:r>
    </w:p>
    <w:p w14:paraId="7F953D4A" w14:textId="77777777" w:rsidR="006E1DD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Churn is concentrated, not general. A few identifiable groups drive most departures, so broad campaigns waste resources.</w:t>
      </w:r>
    </w:p>
    <w:p w14:paraId="1B5D4F86" w14:textId="77777777" w:rsidR="006E1DD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Credit score, tenure, salary and credit card ownership barely differ between leavers and stayers and are poor targeting criteria.</w:t>
      </w:r>
    </w:p>
    <w:p w14:paraId="65C08319" w14:textId="77777777" w:rsidR="006E1DD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Inactivity is an early warning sign and is actionable before a customer leaves.</w:t>
      </w:r>
    </w:p>
    <w:p w14:paraId="2572317F" w14:textId="77777777" w:rsidR="006E1DD7" w:rsidRDefault="00000000">
      <w:pPr>
        <w:pStyle w:val="Heading1"/>
      </w:pPr>
      <w:r>
        <w:t>Recommended actions</w:t>
      </w:r>
    </w:p>
    <w:p w14:paraId="28E19FB1" w14:textId="77777777" w:rsidR="006E1DD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Launch a retention programme for customers aged 46-60, starting with Germany.</w:t>
      </w:r>
    </w:p>
    <w:p w14:paraId="72B818DF" w14:textId="77777777" w:rsidR="006E1DD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Diagnose why German customers leave at twice the rate of French and Spanish customers.</w:t>
      </w:r>
    </w:p>
    <w:p w14:paraId="1B9F1F78" w14:textId="77777777" w:rsidR="006E1DD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Introduce inactivity alerts and reactivation outreach.</w:t>
      </w:r>
    </w:p>
    <w:p w14:paraId="42870D32" w14:textId="77777777" w:rsidR="006E1DD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Review product bundles for customers holding three or more products.</w:t>
      </w:r>
    </w:p>
    <w:p w14:paraId="5211FF65" w14:textId="77777777" w:rsidR="006E1DD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Apply premium retention to high-balance customers who are inactive or based in Germany.</w:t>
      </w:r>
    </w:p>
    <w:p w14:paraId="0870B28F" w14:textId="77777777" w:rsidR="00D55ACD" w:rsidRDefault="00D55ACD" w:rsidP="00093621">
      <w:pPr>
        <w:pStyle w:val="Heading1"/>
      </w:pPr>
    </w:p>
    <w:p w14:paraId="2AE1542A" w14:textId="77777777" w:rsidR="00D55ACD" w:rsidRDefault="00D55ACD" w:rsidP="00093621">
      <w:pPr>
        <w:pStyle w:val="Heading1"/>
      </w:pPr>
    </w:p>
    <w:p w14:paraId="122B2021" w14:textId="667ED5EA" w:rsidR="00D55ACD" w:rsidRDefault="00000000" w:rsidP="00093621">
      <w:pPr>
        <w:pStyle w:val="Heading1"/>
      </w:pPr>
      <w:r>
        <w:lastRenderedPageBreak/>
        <w:t>Caveats</w:t>
      </w:r>
    </w:p>
    <w:p w14:paraId="16AD6F5B" w14:textId="77777777" w:rsidR="006E1DD7" w:rsidRDefault="00000000">
      <w:pPr>
        <w:spacing w:after="120" w:line="276" w:lineRule="auto"/>
      </w:pPr>
      <w:r>
        <w:t>The data is a single-period snapshot without revenue information. Results show association, not cause, and should be validated on the institution's own data before large-scale decisions. A full research paper and an interactive dashboard accompany this summary.</w:t>
      </w:r>
    </w:p>
    <w:sectPr w:rsidR="006E1DD7">
      <w:footerReference w:type="default" r:id="rId7"/>
      <w:pgSz w:w="11906" w:h="16838"/>
      <w:pgMar w:top="13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19D9E4" w14:textId="77777777" w:rsidR="005167A7" w:rsidRDefault="005167A7">
      <w:r>
        <w:separator/>
      </w:r>
    </w:p>
  </w:endnote>
  <w:endnote w:type="continuationSeparator" w:id="0">
    <w:p w14:paraId="20E506B9" w14:textId="77777777" w:rsidR="005167A7" w:rsidRDefault="005167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06CA9" w14:textId="27699640" w:rsidR="006E1DD7" w:rsidRDefault="00000000">
    <w:pPr>
      <w:jc w:val="center"/>
    </w:pPr>
    <w:r>
      <w:rPr>
        <w:color w:val="777777"/>
        <w:sz w:val="17"/>
        <w:szCs w:val="17"/>
      </w:rPr>
      <w:t xml:space="preserve">Page </w:t>
    </w:r>
    <w:r>
      <w:rPr>
        <w:color w:val="777777"/>
        <w:sz w:val="17"/>
        <w:szCs w:val="17"/>
      </w:rPr>
      <w:fldChar w:fldCharType="begin"/>
    </w:r>
    <w:r>
      <w:rPr>
        <w:color w:val="777777"/>
        <w:sz w:val="17"/>
        <w:szCs w:val="17"/>
      </w:rPr>
      <w:instrText>PAGE</w:instrText>
    </w:r>
    <w:r>
      <w:rPr>
        <w:color w:val="777777"/>
        <w:sz w:val="17"/>
        <w:szCs w:val="17"/>
      </w:rPr>
      <w:fldChar w:fldCharType="separate"/>
    </w:r>
    <w:r w:rsidR="00093621">
      <w:rPr>
        <w:noProof/>
        <w:color w:val="777777"/>
        <w:sz w:val="17"/>
        <w:szCs w:val="17"/>
      </w:rPr>
      <w:t>1</w:t>
    </w:r>
    <w:r>
      <w:rPr>
        <w:color w:val="777777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94B71" w14:textId="77777777" w:rsidR="005167A7" w:rsidRDefault="005167A7">
      <w:r>
        <w:separator/>
      </w:r>
    </w:p>
  </w:footnote>
  <w:footnote w:type="continuationSeparator" w:id="0">
    <w:p w14:paraId="779A633B" w14:textId="77777777" w:rsidR="005167A7" w:rsidRDefault="005167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721CCB"/>
    <w:multiLevelType w:val="hybridMultilevel"/>
    <w:tmpl w:val="973C4C86"/>
    <w:lvl w:ilvl="0" w:tplc="46569F4A">
      <w:start w:val="1"/>
      <w:numFmt w:val="bullet"/>
      <w:lvlText w:val="●"/>
      <w:lvlJc w:val="left"/>
      <w:pPr>
        <w:ind w:left="720" w:hanging="360"/>
      </w:pPr>
    </w:lvl>
    <w:lvl w:ilvl="1" w:tplc="86EC8F70">
      <w:start w:val="1"/>
      <w:numFmt w:val="bullet"/>
      <w:lvlText w:val="○"/>
      <w:lvlJc w:val="left"/>
      <w:pPr>
        <w:ind w:left="1440" w:hanging="360"/>
      </w:pPr>
    </w:lvl>
    <w:lvl w:ilvl="2" w:tplc="4D08C1CE">
      <w:start w:val="1"/>
      <w:numFmt w:val="bullet"/>
      <w:lvlText w:val="■"/>
      <w:lvlJc w:val="left"/>
      <w:pPr>
        <w:ind w:left="2160" w:hanging="360"/>
      </w:pPr>
    </w:lvl>
    <w:lvl w:ilvl="3" w:tplc="8CBA4B1C">
      <w:start w:val="1"/>
      <w:numFmt w:val="bullet"/>
      <w:lvlText w:val="●"/>
      <w:lvlJc w:val="left"/>
      <w:pPr>
        <w:ind w:left="2880" w:hanging="360"/>
      </w:pPr>
    </w:lvl>
    <w:lvl w:ilvl="4" w:tplc="0220FED2">
      <w:start w:val="1"/>
      <w:numFmt w:val="bullet"/>
      <w:lvlText w:val="○"/>
      <w:lvlJc w:val="left"/>
      <w:pPr>
        <w:ind w:left="3600" w:hanging="360"/>
      </w:pPr>
    </w:lvl>
    <w:lvl w:ilvl="5" w:tplc="715A1C2A">
      <w:start w:val="1"/>
      <w:numFmt w:val="bullet"/>
      <w:lvlText w:val="■"/>
      <w:lvlJc w:val="left"/>
      <w:pPr>
        <w:ind w:left="4320" w:hanging="360"/>
      </w:pPr>
    </w:lvl>
    <w:lvl w:ilvl="6" w:tplc="B9A0E35C">
      <w:start w:val="1"/>
      <w:numFmt w:val="bullet"/>
      <w:lvlText w:val="●"/>
      <w:lvlJc w:val="left"/>
      <w:pPr>
        <w:ind w:left="5040" w:hanging="360"/>
      </w:pPr>
    </w:lvl>
    <w:lvl w:ilvl="7" w:tplc="DD245FB0">
      <w:start w:val="1"/>
      <w:numFmt w:val="bullet"/>
      <w:lvlText w:val="●"/>
      <w:lvlJc w:val="left"/>
      <w:pPr>
        <w:ind w:left="5760" w:hanging="360"/>
      </w:pPr>
    </w:lvl>
    <w:lvl w:ilvl="8" w:tplc="66A4064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B3F7FF4"/>
    <w:multiLevelType w:val="hybridMultilevel"/>
    <w:tmpl w:val="25824238"/>
    <w:lvl w:ilvl="0" w:tplc="B362453A">
      <w:start w:val="1"/>
      <w:numFmt w:val="bullet"/>
      <w:lvlText w:val="•"/>
      <w:lvlJc w:val="left"/>
      <w:pPr>
        <w:ind w:left="540" w:hanging="270"/>
      </w:pPr>
    </w:lvl>
    <w:lvl w:ilvl="1" w:tplc="491AF046">
      <w:numFmt w:val="decimal"/>
      <w:lvlText w:val=""/>
      <w:lvlJc w:val="left"/>
    </w:lvl>
    <w:lvl w:ilvl="2" w:tplc="4BC65976">
      <w:numFmt w:val="decimal"/>
      <w:lvlText w:val=""/>
      <w:lvlJc w:val="left"/>
    </w:lvl>
    <w:lvl w:ilvl="3" w:tplc="9AD8FEF6">
      <w:numFmt w:val="decimal"/>
      <w:lvlText w:val=""/>
      <w:lvlJc w:val="left"/>
    </w:lvl>
    <w:lvl w:ilvl="4" w:tplc="B494FF84">
      <w:numFmt w:val="decimal"/>
      <w:lvlText w:val=""/>
      <w:lvlJc w:val="left"/>
    </w:lvl>
    <w:lvl w:ilvl="5" w:tplc="FB769F28">
      <w:numFmt w:val="decimal"/>
      <w:lvlText w:val=""/>
      <w:lvlJc w:val="left"/>
    </w:lvl>
    <w:lvl w:ilvl="6" w:tplc="623AC4E2">
      <w:numFmt w:val="decimal"/>
      <w:lvlText w:val=""/>
      <w:lvlJc w:val="left"/>
    </w:lvl>
    <w:lvl w:ilvl="7" w:tplc="9D52B894">
      <w:numFmt w:val="decimal"/>
      <w:lvlText w:val=""/>
      <w:lvlJc w:val="left"/>
    </w:lvl>
    <w:lvl w:ilvl="8" w:tplc="8E08584E">
      <w:numFmt w:val="decimal"/>
      <w:lvlText w:val=""/>
      <w:lvlJc w:val="left"/>
    </w:lvl>
  </w:abstractNum>
  <w:num w:numId="1" w16cid:durableId="1000159330">
    <w:abstractNumId w:val="0"/>
    <w:lvlOverride w:ilvl="0">
      <w:startOverride w:val="1"/>
    </w:lvlOverride>
  </w:num>
  <w:num w:numId="2" w16cid:durableId="183915261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1DD7"/>
    <w:rsid w:val="00093621"/>
    <w:rsid w:val="004502C1"/>
    <w:rsid w:val="005167A7"/>
    <w:rsid w:val="006E1DD7"/>
    <w:rsid w:val="00D55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4A27F"/>
  <w15:docId w15:val="{A2FB21FC-30A0-4106-A1DC-E20BE49AD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F3A5F"/>
      <w:sz w:val="30"/>
      <w:szCs w:val="30"/>
    </w:rPr>
  </w:style>
  <w:style w:type="paragraph" w:styleId="Heading2">
    <w:name w:val="heading 2"/>
    <w:uiPriority w:val="9"/>
    <w:semiHidden/>
    <w:unhideWhenUsed/>
    <w:qFormat/>
    <w:pPr>
      <w:spacing w:before="200" w:after="80"/>
      <w:outlineLvl w:val="1"/>
    </w:pPr>
    <w:rPr>
      <w:b/>
      <w:bCs/>
      <w:color w:val="2A9D8F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9362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93621"/>
  </w:style>
  <w:style w:type="paragraph" w:styleId="Footer">
    <w:name w:val="footer"/>
    <w:basedOn w:val="Normal"/>
    <w:link w:val="FooterChar"/>
    <w:uiPriority w:val="99"/>
    <w:unhideWhenUsed/>
    <w:rsid w:val="0009362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936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292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Hansal Mukthar</cp:lastModifiedBy>
  <cp:revision>2</cp:revision>
  <dcterms:created xsi:type="dcterms:W3CDTF">2026-10-09T11:17:00Z</dcterms:created>
  <dcterms:modified xsi:type="dcterms:W3CDTF">2026-10-09T11:17:00Z</dcterms:modified>
</cp:coreProperties>
</file>