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FA5" w:rsidRDefault="00AA1FA5" w:rsidP="00AA1FA5">
      <w:pPr>
        <w:shd w:val="clear" w:color="auto" w:fill="FFFFFF"/>
        <w:spacing w:before="60" w:after="60" w:line="264" w:lineRule="atLeast"/>
        <w:jc w:val="center"/>
        <w:outlineLvl w:val="0"/>
        <w:rPr>
          <w:rFonts w:eastAsia="Times New Roman" w:cs="Times New Roman"/>
          <w:b/>
          <w:bCs/>
          <w:kern w:val="36"/>
          <w:sz w:val="38"/>
          <w:szCs w:val="38"/>
          <w:lang w:eastAsia="it-IT"/>
        </w:rPr>
      </w:pPr>
      <w:r w:rsidRPr="00AA1FA5">
        <w:rPr>
          <w:rFonts w:eastAsia="Times New Roman" w:cs="Times New Roman"/>
          <w:b/>
          <w:bCs/>
          <w:kern w:val="36"/>
          <w:sz w:val="38"/>
          <w:szCs w:val="38"/>
          <w:lang w:eastAsia="it-IT"/>
        </w:rPr>
        <w:t>Nota 90</w:t>
      </w:r>
    </w:p>
    <w:p w:rsidR="00AA1FA5" w:rsidRPr="00AA1FA5" w:rsidRDefault="00AA1FA5" w:rsidP="00AA1FA5">
      <w:pPr>
        <w:shd w:val="clear" w:color="auto" w:fill="FFFFFF"/>
        <w:spacing w:before="60" w:after="60" w:line="264" w:lineRule="atLeast"/>
        <w:jc w:val="center"/>
        <w:outlineLvl w:val="0"/>
        <w:rPr>
          <w:rFonts w:eastAsia="Times New Roman" w:cs="Times New Roman"/>
          <w:b/>
          <w:bCs/>
          <w:kern w:val="36"/>
          <w:sz w:val="38"/>
          <w:szCs w:val="38"/>
          <w:lang w:eastAsia="it-IT"/>
        </w:rPr>
      </w:pPr>
      <w:bookmarkStart w:id="0" w:name="_GoBack"/>
      <w:bookmarkEnd w:id="0"/>
    </w:p>
    <w:p w:rsidR="00AA1FA5" w:rsidRPr="00AA1FA5" w:rsidRDefault="00AA1FA5" w:rsidP="00AA1FA5">
      <w:pPr>
        <w:shd w:val="clear" w:color="auto" w:fill="FFFFFF"/>
        <w:spacing w:after="0" w:line="270" w:lineRule="atLeast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i/>
          <w:iCs/>
          <w:color w:val="333333"/>
          <w:sz w:val="18"/>
          <w:szCs w:val="18"/>
          <w:lang w:eastAsia="it-IT"/>
        </w:rPr>
        <w:t>La prescrizione a carico del SSN è limitata alle seguenti condizioni:</w:t>
      </w:r>
    </w:p>
    <w:p w:rsidR="00AA1FA5" w:rsidRPr="00AA1FA5" w:rsidRDefault="00AA1FA5" w:rsidP="00AA1FA5">
      <w:pPr>
        <w:numPr>
          <w:ilvl w:val="0"/>
          <w:numId w:val="3"/>
        </w:numPr>
        <w:shd w:val="clear" w:color="auto" w:fill="FFFFFF"/>
        <w:spacing w:after="0" w:line="270" w:lineRule="atLeast"/>
        <w:ind w:left="420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b/>
          <w:bCs/>
          <w:color w:val="333333"/>
          <w:sz w:val="18"/>
          <w:szCs w:val="18"/>
          <w:lang w:eastAsia="it-IT"/>
        </w:rPr>
        <w:t>costipazione indotta da oppiacei in soggetti con malattia in stato terminale che rispondano contemporaneamente alle seguenti caratteristiche:</w:t>
      </w:r>
    </w:p>
    <w:p w:rsidR="00AA1FA5" w:rsidRPr="00AA1FA5" w:rsidRDefault="00AA1FA5" w:rsidP="00AA1FA5">
      <w:pPr>
        <w:numPr>
          <w:ilvl w:val="1"/>
          <w:numId w:val="3"/>
        </w:numPr>
        <w:shd w:val="clear" w:color="auto" w:fill="FFFFFF"/>
        <w:spacing w:after="0" w:line="270" w:lineRule="atLeast"/>
        <w:ind w:left="840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i/>
          <w:iCs/>
          <w:color w:val="333333"/>
          <w:sz w:val="18"/>
          <w:szCs w:val="18"/>
          <w:lang w:eastAsia="it-IT"/>
        </w:rPr>
        <w:t>terapia continuativa con oppiacei della durata di almeno 2 settimane</w:t>
      </w:r>
    </w:p>
    <w:p w:rsidR="00AA1FA5" w:rsidRPr="00AA1FA5" w:rsidRDefault="00AA1FA5" w:rsidP="00AA1FA5">
      <w:pPr>
        <w:numPr>
          <w:ilvl w:val="1"/>
          <w:numId w:val="3"/>
        </w:numPr>
        <w:shd w:val="clear" w:color="auto" w:fill="FFFFFF"/>
        <w:spacing w:after="0" w:line="270" w:lineRule="atLeast"/>
        <w:ind w:left="840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i/>
          <w:iCs/>
          <w:color w:val="333333"/>
          <w:sz w:val="18"/>
          <w:szCs w:val="18"/>
          <w:lang w:eastAsia="it-IT"/>
        </w:rPr>
        <w:t>resistenza al trattamento con lassativi ad azione osmotica per più di 3 giorni</w:t>
      </w:r>
    </w:p>
    <w:p w:rsidR="00AA1FA5" w:rsidRPr="00AA1FA5" w:rsidRDefault="00AA1FA5" w:rsidP="00AA1FA5">
      <w:pPr>
        <w:shd w:val="clear" w:color="auto" w:fill="FFFFFF"/>
        <w:spacing w:after="360" w:line="270" w:lineRule="atLeast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b/>
          <w:bCs/>
          <w:color w:val="333333"/>
          <w:sz w:val="18"/>
          <w:szCs w:val="18"/>
          <w:lang w:eastAsia="it-IT"/>
        </w:rPr>
        <w:t>Background</w:t>
      </w:r>
    </w:p>
    <w:p w:rsidR="00AA1FA5" w:rsidRPr="00AA1FA5" w:rsidRDefault="00AA1FA5" w:rsidP="00AA1FA5">
      <w:pPr>
        <w:shd w:val="clear" w:color="auto" w:fill="FFFFFF"/>
        <w:spacing w:after="360" w:line="270" w:lineRule="atLeast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L’uso degli oppiacei nel trattamento del dolore moderato-severo è limitato dall’insorgenza di costipazione, effetto secondario sfavorevole del trattamento con questa classe di farmaci. La costipazione riduce notevolmente la qualità della vita di questi pazienti a causa del frequente ricorso a lassativi per via rettale e/o manovre di svuotamento manuale.</w:t>
      </w:r>
    </w:p>
    <w:p w:rsidR="00AA1FA5" w:rsidRPr="00AA1FA5" w:rsidRDefault="00AA1FA5" w:rsidP="00AA1FA5">
      <w:pPr>
        <w:shd w:val="clear" w:color="auto" w:fill="FFFFFF"/>
        <w:spacing w:after="360" w:line="270" w:lineRule="atLeast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Diversi lassativi (osmotici, lubrificanti, da contatto e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procinetici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) sono stati utilizzati nel trattamento della costipazione da oppiacei, ma i loro effetti non sono specifici e molti pazienti non rispondono a tali terapie.</w:t>
      </w:r>
    </w:p>
    <w:p w:rsidR="00AA1FA5" w:rsidRPr="00AA1FA5" w:rsidRDefault="00AA1FA5" w:rsidP="00AA1FA5">
      <w:pPr>
        <w:shd w:val="clear" w:color="auto" w:fill="FFFFFF"/>
        <w:spacing w:after="360" w:line="270" w:lineRule="atLeast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Il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metilnaltrexone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, amina quaternaria e antagonista dei recettori µ per gli oppioidi, ha una ristretta capacità di attraversare la barriera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emato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-encefalica limitando i propri effetti alla periferia. La co-somministrazione del farmaco con gli oppiacei ne ridurrebbe l’effetto costipante, senza interferire con la loro azione a livello del sistema nervoso centrale.</w:t>
      </w:r>
    </w:p>
    <w:p w:rsidR="00AA1FA5" w:rsidRPr="00AA1FA5" w:rsidRDefault="00AA1FA5" w:rsidP="00AA1FA5">
      <w:pPr>
        <w:shd w:val="clear" w:color="auto" w:fill="FFFFFF"/>
        <w:spacing w:after="360" w:line="270" w:lineRule="atLeast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 </w:t>
      </w:r>
    </w:p>
    <w:p w:rsidR="00AA1FA5" w:rsidRPr="00AA1FA5" w:rsidRDefault="00AA1FA5" w:rsidP="00AA1FA5">
      <w:pPr>
        <w:shd w:val="clear" w:color="auto" w:fill="FFFFFF"/>
        <w:spacing w:after="360" w:line="270" w:lineRule="atLeast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b/>
          <w:bCs/>
          <w:color w:val="333333"/>
          <w:sz w:val="18"/>
          <w:szCs w:val="18"/>
          <w:lang w:eastAsia="it-IT"/>
        </w:rPr>
        <w:t>Evidenze disponibili</w:t>
      </w:r>
    </w:p>
    <w:p w:rsidR="00AA1FA5" w:rsidRPr="00AA1FA5" w:rsidRDefault="00AA1FA5" w:rsidP="00AA1FA5">
      <w:pPr>
        <w:shd w:val="clear" w:color="auto" w:fill="FFFFFF"/>
        <w:spacing w:after="360" w:line="270" w:lineRule="atLeast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L’efficacia e la sicurezza del farmaco nel trattamento della costipazione indotta da oppiacei in pazienti che ricevono cure palliative sono state dimostrate in due studi clinici randomizzati, in doppio cieco, placebo-controllati. Gli studi sono stati condotti per un periodo di quattro mesi su un totale di 287 pazienti (età media di 68 anni; 51% donne), con malattia in fase terminale ed un’aspettativa di vita limitata. Per la maggior parte di questi pazienti, la diagnosi primaria era malattia cancerosa.</w:t>
      </w:r>
    </w:p>
    <w:p w:rsidR="00AA1FA5" w:rsidRPr="00AA1FA5" w:rsidRDefault="00AA1FA5" w:rsidP="00AA1FA5">
      <w:pPr>
        <w:shd w:val="clear" w:color="auto" w:fill="FFFFFF"/>
        <w:spacing w:after="360" w:line="270" w:lineRule="atLeast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Prima del trattamento con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metilnaltrexone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, i pazienti avevano ricevuto oppiacei per almeno 2 settimane ed un regime stabile di lassativi per almeno 3 giorni prima dell’ingresso nello studio. L’eleggibilità è stata valutata sulla base di una costipazione definita sia come un numero di evacuazioni inferiore a tre nella settimana precedente all’inizio del trattamento con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metilnaltrexone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, sia come un’evacuazione clinicamente irrilevante (come determinato dall’investigatore) nelle 48 ore precedenti al trattamento. In entrambi gli studi nessuna prova ha suggerito effetti differenti in funzione dell’età o del sesso sulla sicurezza o l’efficacia del farmaco. In questi studi, non è stata riscontrata alcuna significativa relazione tra la dose di oppiacei alla valutazione basale e la risposta clinica in pazienti trattati con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metilnaltrexone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. Inoltre, la dose di oppiacei media giornaliera non variava significativamente da quella al basale sia nei pazienti trattati con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metilnaltrexone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sia nei pazienti trattati con placebo. Non ci sono state modifiche clinicamente rilevanti dei punteggi del dolore rispetto a quelli rilevati al basale nei pazienti trattati con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metilnaltrexone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o con placebo.</w:t>
      </w:r>
    </w:p>
    <w:p w:rsidR="00AA1FA5" w:rsidRPr="00AA1FA5" w:rsidRDefault="00AA1FA5" w:rsidP="00AA1FA5">
      <w:pPr>
        <w:shd w:val="clear" w:color="auto" w:fill="FFFFFF"/>
        <w:spacing w:after="360" w:line="270" w:lineRule="atLeast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Gli studi hanno dimostrato che il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metilnaltrexone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per via sottocutanea induce rapidamente defecazione in pazienti con patologie in stadio avanzato e costipazione indotta da oppiacei: l’effetto insorge entro 30 minuti nella metà dei pazienti ed entro un’ora nella maggior parte di questi.</w:t>
      </w:r>
    </w:p>
    <w:p w:rsidR="00AA1FA5" w:rsidRPr="00AA1FA5" w:rsidRDefault="00AA1FA5" w:rsidP="00AA1FA5">
      <w:pPr>
        <w:shd w:val="clear" w:color="auto" w:fill="FFFFFF"/>
        <w:spacing w:after="360" w:line="270" w:lineRule="atLeast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Il trattamento è riservato a pazienti con aspettativa di vita non superiore a 6 mesi.</w:t>
      </w:r>
    </w:p>
    <w:p w:rsidR="00AA1FA5" w:rsidRPr="00AA1FA5" w:rsidRDefault="00AA1FA5" w:rsidP="00AA1FA5">
      <w:pPr>
        <w:shd w:val="clear" w:color="auto" w:fill="FFFFFF"/>
        <w:spacing w:after="360" w:line="270" w:lineRule="atLeast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Il farmaco non deve essere usato in pazienti di età inferiore ai 18 anni poiché non c’è esperienza sul suo uso in tali pazienti (vedi scheda tecnica). </w:t>
      </w:r>
    </w:p>
    <w:p w:rsidR="00AA1FA5" w:rsidRPr="00AA1FA5" w:rsidRDefault="00AA1FA5" w:rsidP="00AA1FA5">
      <w:pPr>
        <w:shd w:val="clear" w:color="auto" w:fill="FFFFFF"/>
        <w:spacing w:after="360" w:line="270" w:lineRule="atLeast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 </w:t>
      </w:r>
    </w:p>
    <w:p w:rsidR="00AA1FA5" w:rsidRPr="00AA1FA5" w:rsidRDefault="00AA1FA5" w:rsidP="00AA1FA5">
      <w:pPr>
        <w:shd w:val="clear" w:color="auto" w:fill="FFFFFF"/>
        <w:spacing w:after="360" w:line="270" w:lineRule="atLeast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b/>
          <w:bCs/>
          <w:color w:val="333333"/>
          <w:sz w:val="18"/>
          <w:szCs w:val="18"/>
          <w:lang w:eastAsia="it-IT"/>
        </w:rPr>
        <w:lastRenderedPageBreak/>
        <w:t>Bibliografia</w:t>
      </w:r>
    </w:p>
    <w:p w:rsidR="00AA1FA5" w:rsidRPr="00AA1FA5" w:rsidRDefault="00AA1FA5" w:rsidP="00AA1FA5">
      <w:pPr>
        <w:numPr>
          <w:ilvl w:val="0"/>
          <w:numId w:val="4"/>
        </w:numPr>
        <w:shd w:val="clear" w:color="auto" w:fill="FFFFFF"/>
        <w:spacing w:after="0" w:line="270" w:lineRule="atLeast"/>
        <w:ind w:left="420"/>
        <w:rPr>
          <w:rFonts w:eastAsia="Times New Roman" w:cs="Arial"/>
          <w:color w:val="333333"/>
          <w:sz w:val="18"/>
          <w:szCs w:val="18"/>
          <w:lang w:eastAsia="it-IT"/>
        </w:rPr>
      </w:pPr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Thomas J, et al.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Methylnaltrexone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for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opioid-induced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constipation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in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advanced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illness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. N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Engl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J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Med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2008; 358: 2332-43.</w:t>
      </w:r>
    </w:p>
    <w:p w:rsidR="00AA1FA5" w:rsidRPr="00AA1FA5" w:rsidRDefault="00AA1FA5" w:rsidP="00AA1FA5">
      <w:pPr>
        <w:numPr>
          <w:ilvl w:val="0"/>
          <w:numId w:val="4"/>
        </w:numPr>
        <w:shd w:val="clear" w:color="auto" w:fill="FFFFFF"/>
        <w:spacing w:after="0" w:line="270" w:lineRule="atLeast"/>
        <w:ind w:left="420"/>
        <w:rPr>
          <w:rFonts w:eastAsia="Times New Roman" w:cs="Arial"/>
          <w:color w:val="333333"/>
          <w:sz w:val="18"/>
          <w:szCs w:val="18"/>
          <w:lang w:eastAsia="it-IT"/>
        </w:rPr>
      </w:pP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Slatkin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N, et al.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Methylnaltrexone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for treatment of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opioid-induced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constipation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in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advanced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illness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patients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. J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Support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</w:t>
      </w:r>
      <w:proofErr w:type="spellStart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>Oncology</w:t>
      </w:r>
      <w:proofErr w:type="spellEnd"/>
      <w:r w:rsidRPr="00AA1FA5">
        <w:rPr>
          <w:rFonts w:eastAsia="Times New Roman" w:cs="Arial"/>
          <w:color w:val="333333"/>
          <w:sz w:val="18"/>
          <w:szCs w:val="18"/>
          <w:lang w:eastAsia="it-IT"/>
        </w:rPr>
        <w:t xml:space="preserve"> 2009; 7: 39-46.</w:t>
      </w:r>
    </w:p>
    <w:p w:rsidR="002A3563" w:rsidRPr="00AA1FA5" w:rsidRDefault="00AA1FA5" w:rsidP="00AA1FA5"/>
    <w:sectPr w:rsidR="002A3563" w:rsidRPr="00AA1FA5" w:rsidSect="00F2109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45BCD"/>
    <w:multiLevelType w:val="multilevel"/>
    <w:tmpl w:val="171C1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994824"/>
    <w:multiLevelType w:val="multilevel"/>
    <w:tmpl w:val="9722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2A66A1"/>
    <w:multiLevelType w:val="multilevel"/>
    <w:tmpl w:val="D4B6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E15C85"/>
    <w:multiLevelType w:val="multilevel"/>
    <w:tmpl w:val="4552B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091"/>
    <w:rsid w:val="001B1340"/>
    <w:rsid w:val="002A52F0"/>
    <w:rsid w:val="00355A15"/>
    <w:rsid w:val="00AA1FA5"/>
    <w:rsid w:val="00F2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2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1091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F2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F21091"/>
    <w:rPr>
      <w:b/>
      <w:bCs/>
    </w:rPr>
  </w:style>
  <w:style w:type="character" w:customStyle="1" w:styleId="apple-converted-space">
    <w:name w:val="apple-converted-space"/>
    <w:basedOn w:val="Carpredefinitoparagrafo"/>
    <w:rsid w:val="00F21091"/>
  </w:style>
  <w:style w:type="character" w:styleId="DefinizioneHTML">
    <w:name w:val="HTML Definition"/>
    <w:basedOn w:val="Carpredefinitoparagrafo"/>
    <w:uiPriority w:val="99"/>
    <w:semiHidden/>
    <w:unhideWhenUsed/>
    <w:rsid w:val="00F21091"/>
    <w:rPr>
      <w:i/>
      <w:iCs/>
    </w:rPr>
  </w:style>
  <w:style w:type="character" w:styleId="Enfasicorsivo">
    <w:name w:val="Emphasis"/>
    <w:basedOn w:val="Carpredefinitoparagrafo"/>
    <w:uiPriority w:val="20"/>
    <w:qFormat/>
    <w:rsid w:val="00AA1F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2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1091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F2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F21091"/>
    <w:rPr>
      <w:b/>
      <w:bCs/>
    </w:rPr>
  </w:style>
  <w:style w:type="character" w:customStyle="1" w:styleId="apple-converted-space">
    <w:name w:val="apple-converted-space"/>
    <w:basedOn w:val="Carpredefinitoparagrafo"/>
    <w:rsid w:val="00F21091"/>
  </w:style>
  <w:style w:type="character" w:styleId="DefinizioneHTML">
    <w:name w:val="HTML Definition"/>
    <w:basedOn w:val="Carpredefinitoparagrafo"/>
    <w:uiPriority w:val="99"/>
    <w:semiHidden/>
    <w:unhideWhenUsed/>
    <w:rsid w:val="00F21091"/>
    <w:rPr>
      <w:i/>
      <w:iCs/>
    </w:rPr>
  </w:style>
  <w:style w:type="character" w:styleId="Enfasicorsivo">
    <w:name w:val="Emphasis"/>
    <w:basedOn w:val="Carpredefinitoparagrafo"/>
    <w:uiPriority w:val="20"/>
    <w:qFormat/>
    <w:rsid w:val="00AA1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Sacco</dc:creator>
  <cp:lastModifiedBy>Luca Sacco</cp:lastModifiedBy>
  <cp:revision>2</cp:revision>
  <cp:lastPrinted>2014-03-21T10:40:00Z</cp:lastPrinted>
  <dcterms:created xsi:type="dcterms:W3CDTF">2014-03-21T10:45:00Z</dcterms:created>
  <dcterms:modified xsi:type="dcterms:W3CDTF">2014-03-21T10:45:00Z</dcterms:modified>
</cp:coreProperties>
</file>