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14F" w:rsidRPr="0054414F" w:rsidRDefault="0054414F" w:rsidP="0054414F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</w:pPr>
      <w:bookmarkStart w:id="0" w:name="_GoBack"/>
      <w:r w:rsidRPr="0054414F"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  <w:t>Nota 91</w:t>
      </w:r>
    </w:p>
    <w:p w:rsidR="0054414F" w:rsidRPr="0054414F" w:rsidRDefault="0054414F" w:rsidP="0054414F">
      <w:pPr>
        <w:shd w:val="clear" w:color="auto" w:fill="FFFFFF"/>
        <w:spacing w:before="60" w:after="60" w:line="264" w:lineRule="atLeast"/>
        <w:jc w:val="center"/>
        <w:outlineLvl w:val="0"/>
        <w:rPr>
          <w:rFonts w:eastAsia="Times New Roman" w:cs="Times New Roman"/>
          <w:b/>
          <w:bCs/>
          <w:kern w:val="36"/>
          <w:sz w:val="38"/>
          <w:szCs w:val="38"/>
          <w:lang w:eastAsia="it-IT"/>
        </w:rPr>
      </w:pPr>
    </w:p>
    <w:p w:rsidR="0054414F" w:rsidRPr="0054414F" w:rsidRDefault="0054414F" w:rsidP="0054414F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Determinazione 2 novembre 2010 (GU 12 novembre 2010, n. 265): Modifiche, relative all’inserimento della Nota 91, alla determinazione 4 gennaio 2007 : “Note AIFA 2006-2007 per l’uso appropriato dei farmaci”.</w:t>
      </w:r>
    </w:p>
    <w:p w:rsidR="0054414F" w:rsidRPr="0054414F" w:rsidRDefault="0054414F" w:rsidP="0054414F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i/>
          <w:iCs/>
          <w:sz w:val="24"/>
          <w:szCs w:val="24"/>
          <w:lang w:eastAsia="it-IT"/>
        </w:rPr>
        <w:t>La prescrizione a carico del SSN è limitata alle seguenti condizioni:</w:t>
      </w:r>
    </w:p>
    <w:p w:rsidR="0054414F" w:rsidRPr="0054414F" w:rsidRDefault="0054414F" w:rsidP="0054414F">
      <w:pPr>
        <w:numPr>
          <w:ilvl w:val="0"/>
          <w:numId w:val="5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 xml:space="preserve">Trattamento dell'iperuricemia cronica con anamnesi o presenza di tofi e/o di artrite gottosa in soggetti che non siano adeguatamente controllati con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o siano ad esso intolleranti.</w:t>
      </w:r>
      <w:r w:rsidRPr="0054414F">
        <w:rPr>
          <w:rFonts w:eastAsia="Times New Roman" w:cs="Arial"/>
          <w:i/>
          <w:iCs/>
          <w:sz w:val="24"/>
          <w:szCs w:val="24"/>
          <w:lang w:eastAsia="it-IT"/>
        </w:rPr>
        <w:t>﻿﻿</w:t>
      </w:r>
    </w:p>
    <w:p w:rsidR="0054414F" w:rsidRPr="0054414F" w:rsidRDefault="0054414F" w:rsidP="0054414F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Background</w:t>
      </w:r>
      <w:r w:rsidRPr="0054414F">
        <w:rPr>
          <w:rFonts w:eastAsia="Times New Roman" w:cs="Arial"/>
          <w:b/>
          <w:bCs/>
          <w:sz w:val="24"/>
          <w:szCs w:val="24"/>
          <w:lang w:eastAsia="it-IT"/>
        </w:rPr>
        <w:br/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è il farmaco di scelta per il trattamento delle principali manifestazioni cliniche dell’iperuricemia cronica con deposito di cristalli di acido urico/urato a livello articolare, nel tessuto sottocutaneo (tofi) o a livello renale. La dose media giornaliera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è di 300 mg al giorno; quando i valori elevati di uricemia rendono necessarie dosi maggiori, il medico può aumentare la dose fino ad un massimo di 800 mg suddivisa in 2-3 somministrazioni giornaliere dopo i pasti.</w:t>
      </w:r>
      <w:r w:rsidRPr="0054414F">
        <w:rPr>
          <w:rFonts w:eastAsia="Times New Roman" w:cs="Arial"/>
          <w:sz w:val="24"/>
          <w:szCs w:val="24"/>
          <w:lang w:eastAsia="it-IT"/>
        </w:rPr>
        <w:br/>
        <w:t>Nei soggetti nei quali l’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sia controindicato (ipersensibilità nota) o che non siano adeguatamente controllati con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o che siano intolleranti ad esso, può essere utilizzato il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un inibitore selettivo non purinico della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xantino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-ossidasi.</w:t>
      </w:r>
      <w:r w:rsidRPr="0054414F">
        <w:rPr>
          <w:rFonts w:eastAsia="Times New Roman" w:cs="Arial"/>
          <w:sz w:val="24"/>
          <w:szCs w:val="24"/>
          <w:lang w:eastAsia="it-IT"/>
        </w:rPr>
        <w:br/>
        <w:t>L’intolleranza all’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è definita come la presenza di eventi avversi la cui severità è tale da richiedere l’interruzione del trattamento ovvero da impedirne l’aumento del dosaggio fino al conseguimento del dosaggio giornaliero ottimale.</w:t>
      </w:r>
      <w:r w:rsidRPr="0054414F">
        <w:rPr>
          <w:rFonts w:eastAsia="Times New Roman" w:cs="Arial"/>
          <w:sz w:val="24"/>
          <w:szCs w:val="24"/>
          <w:lang w:eastAsia="it-IT"/>
        </w:rPr>
        <w:br/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non è indicato per il trattamento dell’iperuricemia asintomatica.</w:t>
      </w: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 </w:t>
      </w:r>
    </w:p>
    <w:p w:rsidR="0054414F" w:rsidRPr="0054414F" w:rsidRDefault="0054414F" w:rsidP="0054414F">
      <w:pPr>
        <w:shd w:val="clear" w:color="auto" w:fill="FFFFFF"/>
        <w:spacing w:after="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Evidenze disponibili</w:t>
      </w:r>
      <w:r w:rsidRPr="0054414F">
        <w:rPr>
          <w:rFonts w:eastAsia="Times New Roman" w:cs="Arial"/>
          <w:b/>
          <w:bCs/>
          <w:sz w:val="24"/>
          <w:szCs w:val="24"/>
          <w:lang w:eastAsia="it-IT"/>
        </w:rPr>
        <w:br/>
      </w:r>
      <w:r w:rsidRPr="0054414F">
        <w:rPr>
          <w:rFonts w:eastAsia="Times New Roman" w:cs="Arial"/>
          <w:sz w:val="24"/>
          <w:szCs w:val="24"/>
          <w:lang w:eastAsia="it-IT"/>
        </w:rPr>
        <w:t xml:space="preserve">Negli studi clinici presentati per l’autorizzazione all’immissione in commercio,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appare essere un farmaco ugualmente o maggiormente efficace</w:t>
      </w:r>
      <w:r w:rsidRPr="0054414F">
        <w:rPr>
          <w:rFonts w:eastAsia="Times New Roman" w:cs="Arial"/>
          <w:sz w:val="24"/>
          <w:szCs w:val="24"/>
          <w:vertAlign w:val="superscript"/>
          <w:lang w:eastAsia="it-IT"/>
        </w:rPr>
        <w:t>(1)</w:t>
      </w:r>
      <w:r w:rsidRPr="0054414F">
        <w:rPr>
          <w:rFonts w:eastAsia="Times New Roman" w:cs="Arial"/>
          <w:sz w:val="24"/>
          <w:szCs w:val="24"/>
          <w:lang w:eastAsia="it-IT"/>
        </w:rPr>
        <w:t xml:space="preserve"> rispetto ad una dose fissa di 300 mg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. E’ stato dimostrato che è più efficace di una dose fissa di 300 mg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nel ridurre il tasso di acido urico nel sangue, durante il trattamento a breve ed a lungo termine; gli accessi di gotta sono stati riportati in percentuale simile sia in corso di trattamento sia dopo la sospensione; non è stata dimostrata una differenza significativa nella percentuale di riduzione della area interessata da tofi o nella riduzione del loro numero. L’incidenza di eventi avversi è stata riportata come simile rispetto al comparatore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e con un tasso di interruzione del trattamento superiore solo nel caso di dosaggio di 120 mg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.</w:t>
      </w:r>
      <w:r w:rsidRPr="0054414F">
        <w:rPr>
          <w:rFonts w:eastAsia="Times New Roman" w:cs="Arial"/>
          <w:sz w:val="24"/>
          <w:szCs w:val="24"/>
          <w:lang w:eastAsia="it-IT"/>
        </w:rPr>
        <w:br/>
        <w:t xml:space="preserve">Gli eventi avversi più frequentemente riportati in letteratura sono nausea, artralgia,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rash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ed elevazione degli enzimi epatici.</w:t>
      </w:r>
      <w:r w:rsidRPr="0054414F">
        <w:rPr>
          <w:rFonts w:eastAsia="Times New Roman" w:cs="Arial"/>
          <w:sz w:val="24"/>
          <w:szCs w:val="24"/>
          <w:lang w:eastAsia="it-IT"/>
        </w:rPr>
        <w:br/>
        <w:t xml:space="preserve">Non sono stati effettuati studi che abbiano confrontato il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con dosaggi superiori a 300 mg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.</w:t>
      </w:r>
      <w:r w:rsidRPr="0054414F">
        <w:rPr>
          <w:rFonts w:eastAsia="Times New Roman" w:cs="Arial"/>
          <w:sz w:val="24"/>
          <w:szCs w:val="24"/>
          <w:lang w:eastAsia="it-IT"/>
        </w:rPr>
        <w:br/>
        <w:t>Non sono disponibili dati sufficienti sull’utilizzo nei casi di compromissione grave del fegato o del rene; ciononostante, si ritiene che questo farmaco possa essere gravato da maggior rischio di alcuni </w:t>
      </w:r>
      <w:hyperlink r:id="rId6" w:history="1">
        <w:r w:rsidRPr="0054414F">
          <w:rPr>
            <w:rFonts w:eastAsia="Times New Roman" w:cs="Arial"/>
            <w:b/>
            <w:bCs/>
            <w:i/>
            <w:iCs/>
            <w:sz w:val="24"/>
            <w:szCs w:val="24"/>
            <w:lang w:eastAsia="it-IT"/>
          </w:rPr>
          <w:t>effetti indesiderati</w:t>
        </w:r>
      </w:hyperlink>
      <w:r w:rsidRPr="0054414F">
        <w:rPr>
          <w:rFonts w:eastAsia="Times New Roman" w:cs="Arial"/>
          <w:sz w:val="24"/>
          <w:szCs w:val="24"/>
          <w:lang w:eastAsia="it-IT"/>
        </w:rPr>
        <w:t> a carico del cuore e dei vasi sanguigni, in particolare nei pazienti con pregressi problemi cardiaci.</w:t>
      </w:r>
      <w:r w:rsidRPr="0054414F">
        <w:rPr>
          <w:rFonts w:eastAsia="Times New Roman" w:cs="Arial"/>
          <w:sz w:val="24"/>
          <w:szCs w:val="24"/>
          <w:lang w:eastAsia="it-IT"/>
        </w:rPr>
        <w:br/>
        <w:t>Uno studio più recente</w:t>
      </w:r>
      <w:r w:rsidRPr="0054414F">
        <w:rPr>
          <w:rFonts w:eastAsia="Times New Roman" w:cs="Arial"/>
          <w:sz w:val="24"/>
          <w:szCs w:val="24"/>
          <w:vertAlign w:val="superscript"/>
          <w:lang w:eastAsia="it-IT"/>
        </w:rPr>
        <w:t>(2)</w:t>
      </w:r>
      <w:r w:rsidRPr="0054414F">
        <w:rPr>
          <w:rFonts w:eastAsia="Times New Roman" w:cs="Arial"/>
          <w:sz w:val="24"/>
          <w:szCs w:val="24"/>
          <w:lang w:eastAsia="it-IT"/>
        </w:rPr>
        <w:t>, estensione a tre anni di quello già citato, conferma i dati già riportati, con un totale di eventi avversi seri del 11% (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80 mg), 9% (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120 mg), e 12% (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). Problemi cardiaci sono riportati in 46 casi (per 1480 pz/anno) per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80mg verso 5 casi per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(173 pz/anno).</w:t>
      </w:r>
      <w:r w:rsidRPr="0054414F">
        <w:rPr>
          <w:rFonts w:eastAsia="Times New Roman" w:cs="Arial"/>
          <w:sz w:val="24"/>
          <w:szCs w:val="24"/>
          <w:lang w:eastAsia="it-IT"/>
        </w:rPr>
        <w:br/>
        <w:t xml:space="preserve">Risultati di non inferiorità in termini di efficacia verso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allopurinolo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sono stati riportati in un altro studio</w:t>
      </w:r>
      <w:r w:rsidRPr="0054414F">
        <w:rPr>
          <w:rFonts w:eastAsia="Times New Roman" w:cs="Arial"/>
          <w:sz w:val="24"/>
          <w:szCs w:val="24"/>
          <w:vertAlign w:val="superscript"/>
          <w:lang w:eastAsia="it-IT"/>
        </w:rPr>
        <w:t>(3)</w:t>
      </w:r>
      <w:r w:rsidRPr="0054414F">
        <w:rPr>
          <w:rFonts w:eastAsia="Times New Roman" w:cs="Arial"/>
          <w:sz w:val="24"/>
          <w:szCs w:val="24"/>
          <w:lang w:eastAsia="it-IT"/>
        </w:rPr>
        <w:t xml:space="preserve">, effettuato dallo stesso gruppo di ricercatori degli studi già citati in precedenza ed in altri </w:t>
      </w:r>
      <w:r w:rsidRPr="0054414F">
        <w:rPr>
          <w:rFonts w:eastAsia="Times New Roman" w:cs="Arial"/>
          <w:sz w:val="24"/>
          <w:szCs w:val="24"/>
          <w:lang w:eastAsia="it-IT"/>
        </w:rPr>
        <w:lastRenderedPageBreak/>
        <w:t>lavori</w:t>
      </w:r>
      <w:r w:rsidRPr="0054414F">
        <w:rPr>
          <w:rFonts w:eastAsia="Times New Roman" w:cs="Arial"/>
          <w:sz w:val="24"/>
          <w:szCs w:val="24"/>
          <w:vertAlign w:val="superscript"/>
          <w:lang w:eastAsia="it-IT"/>
        </w:rPr>
        <w:t>(4)</w:t>
      </w:r>
      <w:r w:rsidRPr="0054414F">
        <w:rPr>
          <w:rFonts w:eastAsia="Times New Roman" w:cs="Arial"/>
          <w:sz w:val="24"/>
          <w:szCs w:val="24"/>
          <w:lang w:eastAsia="it-IT"/>
        </w:rPr>
        <w:t>.</w:t>
      </w:r>
      <w:r w:rsidRPr="0054414F">
        <w:rPr>
          <w:rFonts w:eastAsia="Times New Roman" w:cs="Arial"/>
          <w:sz w:val="24"/>
          <w:szCs w:val="24"/>
          <w:lang w:eastAsia="it-IT"/>
        </w:rPr>
        <w:br/>
        <w:t xml:space="preserve">Vi è attesa di dati più consistenti nell’uso a lungo termine e su casistiche differenti e più ampie per una più completa valutazione della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safety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.</w:t>
      </w: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 </w:t>
      </w:r>
    </w:p>
    <w:p w:rsidR="0054414F" w:rsidRPr="0054414F" w:rsidRDefault="0054414F" w:rsidP="0054414F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Particolari avvertenze</w:t>
      </w:r>
      <w:r w:rsidRPr="0054414F">
        <w:rPr>
          <w:rFonts w:eastAsia="Times New Roman" w:cs="Arial"/>
          <w:b/>
          <w:bCs/>
          <w:sz w:val="24"/>
          <w:szCs w:val="24"/>
          <w:lang w:eastAsia="it-IT"/>
        </w:rPr>
        <w:br/>
      </w:r>
      <w:r w:rsidRPr="0054414F">
        <w:rPr>
          <w:rFonts w:eastAsia="Times New Roman" w:cs="Arial"/>
          <w:sz w:val="24"/>
          <w:szCs w:val="24"/>
          <w:lang w:eastAsia="it-IT"/>
        </w:rPr>
        <w:t xml:space="preserve">In via principale, il trattamento con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non è raccomandato nei pazienti con cardiopatia ischemica o con scompenso cardiaco congestizio.</w:t>
      </w:r>
      <w:r w:rsidRPr="0054414F">
        <w:rPr>
          <w:rFonts w:eastAsia="Times New Roman" w:cs="Arial"/>
          <w:sz w:val="24"/>
          <w:szCs w:val="24"/>
          <w:lang w:eastAsia="it-IT"/>
        </w:rPr>
        <w:br/>
        <w:t xml:space="preserve">Per tutte le altre informazioni per l’uso efficace e sicuro di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si veda il Riassunto delle caratteristiche del prodotto autorizzato.</w:t>
      </w:r>
    </w:p>
    <w:p w:rsidR="0054414F" w:rsidRPr="0054414F" w:rsidRDefault="0054414F" w:rsidP="0054414F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b/>
          <w:bCs/>
          <w:sz w:val="24"/>
          <w:szCs w:val="24"/>
          <w:lang w:eastAsia="it-IT"/>
        </w:rPr>
        <w:t>Bibliografia </w:t>
      </w:r>
    </w:p>
    <w:p w:rsidR="0054414F" w:rsidRPr="0054414F" w:rsidRDefault="0054414F" w:rsidP="0054414F">
      <w:pPr>
        <w:numPr>
          <w:ilvl w:val="0"/>
          <w:numId w:val="6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 xml:space="preserve">Michael A. Becker, M.D., H. Ralph Schumacher, Jr., M.D., Robert L.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Wortmann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M.D., Patricia A.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MacDonald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B.S.N., N.P., Denise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Eustace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B.A., William A. Palo, M.S., Janet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Streit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M.S., and Nancy Joseph-Ridge, M.D.: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Compared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Patients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Hyperuricemia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Gout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. 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Engl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J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Med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2005;353:2450-61.</w:t>
      </w:r>
    </w:p>
    <w:p w:rsidR="0054414F" w:rsidRPr="0054414F" w:rsidRDefault="0054414F" w:rsidP="0054414F">
      <w:pPr>
        <w:numPr>
          <w:ilvl w:val="0"/>
          <w:numId w:val="6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 xml:space="preserve">Becker MA, Schumacher HR,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Macdonald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PA, Lloyd E,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Lademacher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C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Clinical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 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fldChar w:fldCharType="begin"/>
      </w:r>
      <w:r w:rsidRPr="0054414F">
        <w:rPr>
          <w:rFonts w:eastAsia="Times New Roman" w:cs="Arial"/>
          <w:sz w:val="24"/>
          <w:szCs w:val="24"/>
          <w:lang w:eastAsia="it-IT"/>
        </w:rPr>
        <w:instrText xml:space="preserve"> HYPERLINK "http://www.agenziafarmaco.gov.it/it/glossary/term/3613" </w:instrText>
      </w:r>
      <w:r w:rsidRPr="0054414F">
        <w:rPr>
          <w:rFonts w:eastAsia="Times New Roman" w:cs="Arial"/>
          <w:sz w:val="24"/>
          <w:szCs w:val="24"/>
          <w:lang w:eastAsia="it-IT"/>
        </w:rPr>
        <w:fldChar w:fldCharType="separate"/>
      </w:r>
      <w:r w:rsidRPr="0054414F">
        <w:rPr>
          <w:rFonts w:eastAsia="Times New Roman" w:cs="Arial"/>
          <w:b/>
          <w:bCs/>
          <w:i/>
          <w:iCs/>
          <w:sz w:val="24"/>
          <w:szCs w:val="24"/>
          <w:lang w:eastAsia="it-IT"/>
        </w:rPr>
        <w:t>Efficacy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fldChar w:fldCharType="end"/>
      </w:r>
      <w:r w:rsidRPr="0054414F">
        <w:rPr>
          <w:rFonts w:eastAsia="Times New Roman" w:cs="Arial"/>
          <w:sz w:val="24"/>
          <w:szCs w:val="24"/>
          <w:lang w:eastAsia="it-IT"/>
        </w:rPr>
        <w:t xml:space="preserve"> and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Safety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of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Successful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Longterm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Urate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Lowering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or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Subjects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Gout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. The Journal of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Rheumatology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2009 Mar 13</w:t>
      </w:r>
    </w:p>
    <w:p w:rsidR="0054414F" w:rsidRPr="0054414F" w:rsidRDefault="0054414F" w:rsidP="0054414F">
      <w:pPr>
        <w:numPr>
          <w:ilvl w:val="0"/>
          <w:numId w:val="6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 xml:space="preserve">Schumacher HR Jr, Becker MA,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Wortmann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RL,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Macdonald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PA,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Hunt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B,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Streit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J,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Lademacher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C, Joseph-Ridge 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Effects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of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versus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allopurinol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and placebo in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reducing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serum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urate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subjects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hyperuricemia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gout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: a 28-week,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phase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III,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randomized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, double-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blind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parallel-group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trial.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Arthritis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and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Rheumatism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2008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Nov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15;59(11):1540-8</w:t>
      </w:r>
    </w:p>
    <w:p w:rsidR="0054414F" w:rsidRPr="0054414F" w:rsidRDefault="0054414F" w:rsidP="0054414F">
      <w:pPr>
        <w:numPr>
          <w:ilvl w:val="0"/>
          <w:numId w:val="6"/>
        </w:numPr>
        <w:shd w:val="clear" w:color="auto" w:fill="FFFFFF"/>
        <w:spacing w:after="0" w:line="270" w:lineRule="atLeast"/>
        <w:ind w:left="420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 xml:space="preserve">Ernst ME,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Fravel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MA: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Febuxostat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: a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selective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xanthine-oxidase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/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xanthine-dehydrogenase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inhibitor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for the management of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hyperuricemia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in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adults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with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gout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.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Clin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 xml:space="preserve"> </w:t>
      </w:r>
      <w:proofErr w:type="spellStart"/>
      <w:r w:rsidRPr="0054414F">
        <w:rPr>
          <w:rFonts w:eastAsia="Times New Roman" w:cs="Arial"/>
          <w:sz w:val="24"/>
          <w:szCs w:val="24"/>
          <w:lang w:eastAsia="it-IT"/>
        </w:rPr>
        <w:t>Ther</w:t>
      </w:r>
      <w:proofErr w:type="spellEnd"/>
      <w:r w:rsidRPr="0054414F">
        <w:rPr>
          <w:rFonts w:eastAsia="Times New Roman" w:cs="Arial"/>
          <w:sz w:val="24"/>
          <w:szCs w:val="24"/>
          <w:lang w:eastAsia="it-IT"/>
        </w:rPr>
        <w:t>. 2009 Nov;31(11):2503-18.</w:t>
      </w:r>
    </w:p>
    <w:p w:rsidR="0054414F" w:rsidRPr="0054414F" w:rsidRDefault="0054414F" w:rsidP="0054414F">
      <w:pPr>
        <w:shd w:val="clear" w:color="auto" w:fill="FFFFFF"/>
        <w:spacing w:after="360" w:line="270" w:lineRule="atLeast"/>
        <w:rPr>
          <w:rFonts w:eastAsia="Times New Roman" w:cs="Arial"/>
          <w:sz w:val="24"/>
          <w:szCs w:val="24"/>
          <w:lang w:eastAsia="it-IT"/>
        </w:rPr>
      </w:pPr>
      <w:r w:rsidRPr="0054414F">
        <w:rPr>
          <w:rFonts w:eastAsia="Times New Roman" w:cs="Arial"/>
          <w:sz w:val="24"/>
          <w:szCs w:val="24"/>
          <w:lang w:eastAsia="it-IT"/>
        </w:rPr>
        <w:t>Last update 20 giugno 2011</w:t>
      </w:r>
    </w:p>
    <w:bookmarkEnd w:id="0"/>
    <w:p w:rsidR="002A3563" w:rsidRPr="0054414F" w:rsidRDefault="0054414F" w:rsidP="0054414F">
      <w:pPr>
        <w:rPr>
          <w:sz w:val="24"/>
          <w:szCs w:val="24"/>
        </w:rPr>
      </w:pPr>
    </w:p>
    <w:sectPr w:rsidR="002A3563" w:rsidRPr="0054414F" w:rsidSect="00F2109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787"/>
    <w:multiLevelType w:val="multilevel"/>
    <w:tmpl w:val="9D5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E45BCD"/>
    <w:multiLevelType w:val="multilevel"/>
    <w:tmpl w:val="171C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94824"/>
    <w:multiLevelType w:val="multilevel"/>
    <w:tmpl w:val="9722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2A66A1"/>
    <w:multiLevelType w:val="multilevel"/>
    <w:tmpl w:val="D4B6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E15C85"/>
    <w:multiLevelType w:val="multilevel"/>
    <w:tmpl w:val="4552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F65C5"/>
    <w:multiLevelType w:val="multilevel"/>
    <w:tmpl w:val="FC1A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91"/>
    <w:rsid w:val="001B1340"/>
    <w:rsid w:val="002A52F0"/>
    <w:rsid w:val="00350D6E"/>
    <w:rsid w:val="00355A15"/>
    <w:rsid w:val="003B29B4"/>
    <w:rsid w:val="0054414F"/>
    <w:rsid w:val="00AA1FA5"/>
    <w:rsid w:val="00F2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2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109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F2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F21091"/>
    <w:rPr>
      <w:b/>
      <w:bCs/>
    </w:rPr>
  </w:style>
  <w:style w:type="character" w:customStyle="1" w:styleId="apple-converted-space">
    <w:name w:val="apple-converted-space"/>
    <w:basedOn w:val="Carpredefinitoparagrafo"/>
    <w:rsid w:val="00F21091"/>
  </w:style>
  <w:style w:type="character" w:styleId="DefinizioneHTML">
    <w:name w:val="HTML Definition"/>
    <w:basedOn w:val="Carpredefinitoparagrafo"/>
    <w:uiPriority w:val="99"/>
    <w:semiHidden/>
    <w:unhideWhenUsed/>
    <w:rsid w:val="00F21091"/>
    <w:rPr>
      <w:i/>
      <w:iCs/>
    </w:rPr>
  </w:style>
  <w:style w:type="character" w:styleId="Enfasicorsivo">
    <w:name w:val="Emphasis"/>
    <w:basedOn w:val="Carpredefinitoparagrafo"/>
    <w:uiPriority w:val="20"/>
    <w:qFormat/>
    <w:rsid w:val="00AA1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enziafarmaco.gov.it/it/glossary/term/14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Sacco</dc:creator>
  <cp:lastModifiedBy>Luca Sacco</cp:lastModifiedBy>
  <cp:revision>2</cp:revision>
  <cp:lastPrinted>2014-03-21T10:46:00Z</cp:lastPrinted>
  <dcterms:created xsi:type="dcterms:W3CDTF">2014-03-21T10:48:00Z</dcterms:created>
  <dcterms:modified xsi:type="dcterms:W3CDTF">2014-03-21T10:48:00Z</dcterms:modified>
</cp:coreProperties>
</file>