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E51" w:rsidRPr="00E22E51" w:rsidRDefault="00E22E51" w:rsidP="00E22E51">
      <w:pPr>
        <w:shd w:val="clear" w:color="auto" w:fill="FFFFFF"/>
        <w:spacing w:before="60" w:after="60" w:line="264" w:lineRule="atLeast"/>
        <w:jc w:val="center"/>
        <w:outlineLvl w:val="0"/>
        <w:rPr>
          <w:rFonts w:eastAsia="Times New Roman" w:cs="Times New Roman"/>
          <w:b/>
          <w:bCs/>
          <w:kern w:val="36"/>
          <w:sz w:val="38"/>
          <w:szCs w:val="38"/>
          <w:lang w:eastAsia="it-IT"/>
        </w:rPr>
      </w:pPr>
      <w:r w:rsidRPr="00E22E51">
        <w:rPr>
          <w:rFonts w:eastAsia="Times New Roman" w:cs="Times New Roman"/>
          <w:b/>
          <w:bCs/>
          <w:kern w:val="36"/>
          <w:sz w:val="38"/>
          <w:szCs w:val="38"/>
          <w:lang w:eastAsia="it-IT"/>
        </w:rPr>
        <w:t>Nota 93</w:t>
      </w:r>
    </w:p>
    <w:p w:rsidR="00E22E51" w:rsidRPr="00E22E51" w:rsidRDefault="00E22E51" w:rsidP="00E22E51">
      <w:pPr>
        <w:shd w:val="clear" w:color="auto" w:fill="FFFFFF"/>
        <w:spacing w:before="60" w:after="60" w:line="264" w:lineRule="atLeast"/>
        <w:jc w:val="center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it-IT"/>
        </w:rPr>
      </w:pPr>
      <w:bookmarkStart w:id="0" w:name="_GoBack"/>
    </w:p>
    <w:p w:rsidR="00E22E51" w:rsidRPr="00E22E51" w:rsidRDefault="00E22E51" w:rsidP="00E22E51">
      <w:pPr>
        <w:shd w:val="clear" w:color="auto" w:fill="FFFFFF"/>
        <w:spacing w:after="0" w:line="270" w:lineRule="atLeast"/>
        <w:rPr>
          <w:rFonts w:eastAsia="Times New Roman" w:cs="Arial"/>
          <w:sz w:val="24"/>
          <w:szCs w:val="24"/>
          <w:lang w:eastAsia="it-IT"/>
        </w:rPr>
      </w:pPr>
      <w:r w:rsidRPr="00E22E51">
        <w:rPr>
          <w:rFonts w:eastAsia="Times New Roman" w:cs="Arial"/>
          <w:i/>
          <w:iCs/>
          <w:sz w:val="24"/>
          <w:szCs w:val="24"/>
          <w:lang w:eastAsia="it-IT"/>
        </w:rPr>
        <w:t xml:space="preserve">La prescrizione del farmaco </w:t>
      </w:r>
      <w:proofErr w:type="spellStart"/>
      <w:r w:rsidRPr="00E22E51">
        <w:rPr>
          <w:rFonts w:eastAsia="Times New Roman" w:cs="Arial"/>
          <w:i/>
          <w:iCs/>
          <w:sz w:val="24"/>
          <w:szCs w:val="24"/>
          <w:lang w:eastAsia="it-IT"/>
        </w:rPr>
        <w:t>Buccolam</w:t>
      </w:r>
      <w:proofErr w:type="spellEnd"/>
      <w:r w:rsidRPr="00E22E51">
        <w:rPr>
          <w:rFonts w:eastAsia="Times New Roman" w:cs="Arial"/>
          <w:i/>
          <w:iCs/>
          <w:sz w:val="24"/>
          <w:szCs w:val="24"/>
          <w:lang w:eastAsia="it-IT"/>
        </w:rPr>
        <w:t xml:space="preserve">  a carico del SSN è limitata alle seguenti condizioni patologiche</w:t>
      </w:r>
      <w:r w:rsidRPr="00E22E51">
        <w:rPr>
          <w:rFonts w:eastAsia="Times New Roman" w:cs="Arial"/>
          <w:b/>
          <w:bCs/>
          <w:i/>
          <w:iCs/>
          <w:sz w:val="24"/>
          <w:szCs w:val="24"/>
          <w:lang w:eastAsia="it-IT"/>
        </w:rPr>
        <w:t>:</w:t>
      </w:r>
    </w:p>
    <w:p w:rsidR="00E22E51" w:rsidRPr="00E22E51" w:rsidRDefault="00E22E51" w:rsidP="00E22E51">
      <w:pPr>
        <w:shd w:val="clear" w:color="auto" w:fill="FFFFFF"/>
        <w:spacing w:after="360" w:line="270" w:lineRule="atLeast"/>
        <w:rPr>
          <w:rFonts w:eastAsia="Times New Roman" w:cs="Arial"/>
          <w:sz w:val="24"/>
          <w:szCs w:val="24"/>
          <w:lang w:eastAsia="it-IT"/>
        </w:rPr>
      </w:pPr>
      <w:r w:rsidRPr="00E22E51">
        <w:rPr>
          <w:rFonts w:eastAsia="Times New Roman" w:cs="Arial"/>
          <w:b/>
          <w:bCs/>
          <w:sz w:val="24"/>
          <w:szCs w:val="24"/>
          <w:lang w:eastAsia="it-IT"/>
        </w:rPr>
        <w:t>Classe A</w:t>
      </w:r>
      <w:r w:rsidRPr="00E22E51">
        <w:rPr>
          <w:rFonts w:eastAsia="Times New Roman" w:cs="Arial"/>
          <w:sz w:val="24"/>
          <w:szCs w:val="24"/>
          <w:lang w:eastAsia="it-IT"/>
        </w:rPr>
        <w:t>:</w:t>
      </w:r>
    </w:p>
    <w:tbl>
      <w:tblPr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9"/>
        <w:gridCol w:w="4129"/>
      </w:tblGrid>
      <w:tr w:rsidR="00E22E51" w:rsidRPr="00E22E51" w:rsidTr="00E22E51"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E22E51" w:rsidRPr="00E22E51" w:rsidRDefault="00E22E51" w:rsidP="00E22E51">
            <w:pPr>
              <w:spacing w:after="360" w:line="240" w:lineRule="auto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E22E51">
              <w:rPr>
                <w:rFonts w:eastAsia="Times New Roman" w:cs="Times New Roman"/>
                <w:b/>
                <w:bCs/>
                <w:sz w:val="24"/>
                <w:szCs w:val="24"/>
                <w:lang w:eastAsia="it-IT"/>
              </w:rPr>
              <w:t>limitatamente alle seguenti indicazioni 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E22E51" w:rsidRPr="00E22E51" w:rsidRDefault="00E22E51" w:rsidP="00E22E51">
            <w:pPr>
              <w:spacing w:after="360" w:line="240" w:lineRule="auto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E22E51">
              <w:rPr>
                <w:rFonts w:eastAsia="Times New Roman" w:cs="Times New Roman"/>
                <w:b/>
                <w:bCs/>
                <w:sz w:val="24"/>
                <w:szCs w:val="24"/>
                <w:lang w:eastAsia="it-IT"/>
              </w:rPr>
              <w:t>Limitatamente ai seguenti principi attivi</w:t>
            </w:r>
          </w:p>
        </w:tc>
      </w:tr>
      <w:tr w:rsidR="00E22E51" w:rsidRPr="00E22E51" w:rsidTr="00E22E51">
        <w:tc>
          <w:tcPr>
            <w:tcW w:w="586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E22E51" w:rsidRPr="00E22E51" w:rsidRDefault="00E22E51" w:rsidP="00E22E51">
            <w:pPr>
              <w:numPr>
                <w:ilvl w:val="0"/>
                <w:numId w:val="11"/>
              </w:numPr>
              <w:spacing w:after="0" w:line="240" w:lineRule="auto"/>
              <w:ind w:left="42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E22E51">
              <w:rPr>
                <w:rFonts w:eastAsia="Times New Roman" w:cs="Times New Roman"/>
                <w:sz w:val="24"/>
                <w:szCs w:val="24"/>
                <w:lang w:eastAsia="it-IT"/>
              </w:rPr>
              <w:t>Trattamento acuto delle crisi nelle epilessie dell’età pediatrica con elevato rischio di occorrenza di crisi prolungate (durata maggiore di 5 minuti) o di stato di male epilettico</w:t>
            </w:r>
          </w:p>
          <w:p w:rsidR="00E22E51" w:rsidRPr="00E22E51" w:rsidRDefault="00E22E51" w:rsidP="00E22E51">
            <w:pPr>
              <w:numPr>
                <w:ilvl w:val="1"/>
                <w:numId w:val="11"/>
              </w:numPr>
              <w:spacing w:after="0" w:line="240" w:lineRule="auto"/>
              <w:ind w:left="84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E22E51">
              <w:rPr>
                <w:rFonts w:eastAsia="Times New Roman" w:cs="Times New Roman"/>
                <w:b/>
                <w:bCs/>
                <w:sz w:val="24"/>
                <w:szCs w:val="24"/>
                <w:lang w:eastAsia="it-IT"/>
              </w:rPr>
              <w:t>Forme idiopatiche</w:t>
            </w:r>
          </w:p>
          <w:p w:rsidR="00E22E51" w:rsidRPr="00E22E51" w:rsidRDefault="00E22E51" w:rsidP="00E22E51">
            <w:pPr>
              <w:numPr>
                <w:ilvl w:val="2"/>
                <w:numId w:val="11"/>
              </w:numPr>
              <w:spacing w:after="0" w:line="240" w:lineRule="auto"/>
              <w:ind w:left="126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E22E51">
              <w:rPr>
                <w:rFonts w:eastAsia="Times New Roman" w:cs="Times New Roman"/>
                <w:sz w:val="24"/>
                <w:szCs w:val="24"/>
                <w:lang w:eastAsia="it-IT"/>
              </w:rPr>
              <w:t xml:space="preserve">Sindrome di </w:t>
            </w:r>
            <w:proofErr w:type="spellStart"/>
            <w:r w:rsidRPr="00E22E51">
              <w:rPr>
                <w:rFonts w:eastAsia="Times New Roman" w:cs="Times New Roman"/>
                <w:sz w:val="24"/>
                <w:szCs w:val="24"/>
                <w:lang w:eastAsia="it-IT"/>
              </w:rPr>
              <w:t>Dravet</w:t>
            </w:r>
            <w:proofErr w:type="spellEnd"/>
          </w:p>
          <w:p w:rsidR="00E22E51" w:rsidRPr="00E22E51" w:rsidRDefault="00E22E51" w:rsidP="00E22E51">
            <w:pPr>
              <w:numPr>
                <w:ilvl w:val="2"/>
                <w:numId w:val="11"/>
              </w:numPr>
              <w:spacing w:after="0" w:line="240" w:lineRule="auto"/>
              <w:ind w:left="126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E22E51">
              <w:rPr>
                <w:rFonts w:eastAsia="Times New Roman" w:cs="Times New Roman"/>
                <w:sz w:val="24"/>
                <w:szCs w:val="24"/>
                <w:lang w:eastAsia="it-IT"/>
              </w:rPr>
              <w:t xml:space="preserve">Sindrome di </w:t>
            </w:r>
            <w:proofErr w:type="spellStart"/>
            <w:r w:rsidRPr="00E22E51">
              <w:rPr>
                <w:rFonts w:eastAsia="Times New Roman" w:cs="Times New Roman"/>
                <w:sz w:val="24"/>
                <w:szCs w:val="24"/>
                <w:lang w:eastAsia="it-IT"/>
              </w:rPr>
              <w:t>Panayiotopoulos</w:t>
            </w:r>
            <w:proofErr w:type="spellEnd"/>
          </w:p>
          <w:p w:rsidR="00E22E51" w:rsidRPr="00E22E51" w:rsidRDefault="00E22E51" w:rsidP="00E22E51">
            <w:pPr>
              <w:numPr>
                <w:ilvl w:val="0"/>
                <w:numId w:val="11"/>
              </w:numPr>
              <w:spacing w:after="0" w:line="240" w:lineRule="auto"/>
              <w:ind w:left="42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E22E51">
              <w:rPr>
                <w:rFonts w:eastAsia="Times New Roman" w:cs="Times New Roman"/>
                <w:sz w:val="24"/>
                <w:szCs w:val="24"/>
                <w:lang w:eastAsia="it-IT"/>
              </w:rPr>
              <w:t>Trattamento acuto delle crisi nelle altre epilessie dell’età pediatrica, dopo un precedente episodio di crisi prolungata (durata maggiore di 5 minuti) o di stato di male epilettico</w:t>
            </w:r>
          </w:p>
          <w:p w:rsidR="00E22E51" w:rsidRPr="00E22E51" w:rsidRDefault="00E22E51" w:rsidP="00E22E51">
            <w:pPr>
              <w:numPr>
                <w:ilvl w:val="1"/>
                <w:numId w:val="11"/>
              </w:numPr>
              <w:spacing w:after="0" w:line="240" w:lineRule="auto"/>
              <w:ind w:left="84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E22E51">
              <w:rPr>
                <w:rFonts w:eastAsia="Times New Roman" w:cs="Times New Roman"/>
                <w:b/>
                <w:bCs/>
                <w:sz w:val="24"/>
                <w:szCs w:val="24"/>
                <w:lang w:eastAsia="it-IT"/>
              </w:rPr>
              <w:t>Forme idiopatiche</w:t>
            </w:r>
          </w:p>
          <w:p w:rsidR="00E22E51" w:rsidRPr="00E22E51" w:rsidRDefault="00E22E51" w:rsidP="00E22E51">
            <w:pPr>
              <w:numPr>
                <w:ilvl w:val="1"/>
                <w:numId w:val="11"/>
              </w:numPr>
              <w:spacing w:after="0" w:line="240" w:lineRule="auto"/>
              <w:ind w:left="84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E22E51">
              <w:rPr>
                <w:rFonts w:eastAsia="Times New Roman" w:cs="Times New Roman"/>
                <w:b/>
                <w:bCs/>
                <w:sz w:val="24"/>
                <w:szCs w:val="24"/>
                <w:lang w:eastAsia="it-IT"/>
              </w:rPr>
              <w:t>Forme sintomatiche a varia eziologia</w:t>
            </w:r>
          </w:p>
          <w:p w:rsidR="00E22E51" w:rsidRPr="00E22E51" w:rsidRDefault="00E22E51" w:rsidP="00E22E51">
            <w:pPr>
              <w:spacing w:after="360" w:line="240" w:lineRule="auto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E22E51">
              <w:rPr>
                <w:rFonts w:eastAsia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E22E51" w:rsidRPr="00E22E51" w:rsidRDefault="00E22E51" w:rsidP="00E22E51">
            <w:pPr>
              <w:spacing w:after="360" w:line="240" w:lineRule="auto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E22E51">
              <w:rPr>
                <w:rFonts w:eastAsia="Times New Roman" w:cs="Times New Roman"/>
                <w:sz w:val="24"/>
                <w:szCs w:val="24"/>
                <w:lang w:eastAsia="it-IT"/>
              </w:rPr>
              <w:t>Midazolam</w:t>
            </w:r>
            <w:proofErr w:type="spellEnd"/>
            <w:r w:rsidRPr="00E22E51">
              <w:rPr>
                <w:rFonts w:eastAsia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E22E51">
              <w:rPr>
                <w:rFonts w:eastAsia="Times New Roman" w:cs="Times New Roman"/>
                <w:sz w:val="24"/>
                <w:szCs w:val="24"/>
                <w:lang w:eastAsia="it-IT"/>
              </w:rPr>
              <w:t>oromucosale</w:t>
            </w:r>
            <w:proofErr w:type="spellEnd"/>
            <w:r w:rsidRPr="00E22E51">
              <w:rPr>
                <w:rFonts w:eastAsia="Times New Roman" w:cs="Times New Roman"/>
                <w:sz w:val="24"/>
                <w:szCs w:val="24"/>
                <w:lang w:eastAsia="it-IT"/>
              </w:rPr>
              <w:br/>
              <w:t xml:space="preserve">Siringhe </w:t>
            </w:r>
            <w:proofErr w:type="spellStart"/>
            <w:r w:rsidRPr="00E22E51">
              <w:rPr>
                <w:rFonts w:eastAsia="Times New Roman" w:cs="Times New Roman"/>
                <w:sz w:val="24"/>
                <w:szCs w:val="24"/>
                <w:lang w:eastAsia="it-IT"/>
              </w:rPr>
              <w:t>preriempite</w:t>
            </w:r>
            <w:proofErr w:type="spellEnd"/>
            <w:r w:rsidRPr="00E22E51">
              <w:rPr>
                <w:rFonts w:eastAsia="Times New Roman" w:cs="Times New Roman"/>
                <w:sz w:val="24"/>
                <w:szCs w:val="24"/>
                <w:lang w:eastAsia="it-IT"/>
              </w:rPr>
              <w:t xml:space="preserve"> da 2,5, 5, 7,5 e 10 mg per uso </w:t>
            </w:r>
            <w:proofErr w:type="spellStart"/>
            <w:r w:rsidRPr="00E22E51">
              <w:rPr>
                <w:rFonts w:eastAsia="Times New Roman" w:cs="Times New Roman"/>
                <w:sz w:val="24"/>
                <w:szCs w:val="24"/>
                <w:lang w:eastAsia="it-IT"/>
              </w:rPr>
              <w:t>oromucosale</w:t>
            </w:r>
            <w:proofErr w:type="spellEnd"/>
          </w:p>
        </w:tc>
      </w:tr>
    </w:tbl>
    <w:p w:rsidR="00E22E51" w:rsidRPr="00E22E51" w:rsidRDefault="00E22E51" w:rsidP="00E22E51">
      <w:pPr>
        <w:shd w:val="clear" w:color="auto" w:fill="FFFFFF"/>
        <w:spacing w:after="360" w:line="270" w:lineRule="atLeast"/>
        <w:rPr>
          <w:rFonts w:eastAsia="Times New Roman" w:cs="Arial"/>
          <w:sz w:val="24"/>
          <w:szCs w:val="24"/>
          <w:lang w:eastAsia="it-IT"/>
        </w:rPr>
      </w:pPr>
      <w:r w:rsidRPr="00E22E51">
        <w:rPr>
          <w:rFonts w:eastAsia="Times New Roman" w:cs="Arial"/>
          <w:sz w:val="24"/>
          <w:szCs w:val="24"/>
          <w:lang w:eastAsia="it-IT"/>
        </w:rPr>
        <w:t> </w:t>
      </w:r>
    </w:p>
    <w:p w:rsidR="00E22E51" w:rsidRPr="00E22E51" w:rsidRDefault="00E22E51" w:rsidP="00E22E51">
      <w:pPr>
        <w:shd w:val="clear" w:color="auto" w:fill="FFFFFF"/>
        <w:spacing w:after="360" w:line="270" w:lineRule="atLeast"/>
        <w:rPr>
          <w:rFonts w:eastAsia="Times New Roman" w:cs="Arial"/>
          <w:sz w:val="24"/>
          <w:szCs w:val="24"/>
          <w:lang w:eastAsia="it-IT"/>
        </w:rPr>
      </w:pPr>
      <w:r w:rsidRPr="00E22E51">
        <w:rPr>
          <w:rFonts w:eastAsia="Times New Roman" w:cs="Arial"/>
          <w:b/>
          <w:bCs/>
          <w:sz w:val="24"/>
          <w:szCs w:val="24"/>
          <w:lang w:eastAsia="it-IT"/>
        </w:rPr>
        <w:t>Background</w:t>
      </w:r>
    </w:p>
    <w:p w:rsidR="00E22E51" w:rsidRPr="00E22E51" w:rsidRDefault="00E22E51" w:rsidP="00E22E51">
      <w:pPr>
        <w:shd w:val="clear" w:color="auto" w:fill="FFFFFF"/>
        <w:spacing w:after="360" w:line="270" w:lineRule="atLeast"/>
        <w:rPr>
          <w:rFonts w:eastAsia="Times New Roman" w:cs="Arial"/>
          <w:sz w:val="24"/>
          <w:szCs w:val="24"/>
          <w:lang w:eastAsia="it-IT"/>
        </w:rPr>
      </w:pP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Buccolam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ha ottenuto, nel 2011, una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Paediatric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Use Marketing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Authorisation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(PUMA). La forma farmaceutica consiste in una siringa dosata con diverse posologie per somministrazione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oromucosa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di una dose singola di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midazolam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per il trattamento delle convulsioni prolungate nel bambino. </w:t>
      </w:r>
      <w:r w:rsidRPr="00E22E51">
        <w:rPr>
          <w:rFonts w:eastAsia="Times New Roman" w:cs="Arial"/>
          <w:sz w:val="24"/>
          <w:szCs w:val="24"/>
          <w:lang w:eastAsia="it-IT"/>
        </w:rPr>
        <w:br/>
        <w:t xml:space="preserve">In Italia, i bambini con epilessia che presentano crisi prolungate vengono attualmente trattati con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Diazepam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endorettale (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Micropam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). L’utilizzo del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midazolam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per via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oromucosale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, precisandone la non disponibilità in Italia, è stato indicato quale opzione terapeutica nelle raccomandazioni della Lega Italiana Contro l’Epilessia (LICE) per il trattamento dello Stato di Male Convulsivo del bambino (Capovilla et al, 2012, Capovilla et al,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Epilepsia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, in press). L’utilizzo del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midazolam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oromucosale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è raccomandato, in particolare in adolescenza, come farmaco di prima scelta per il trattamento delle crisi prolungate nelle recenti linee guida NICE 2012.</w:t>
      </w:r>
    </w:p>
    <w:p w:rsidR="00E22E51" w:rsidRPr="00E22E51" w:rsidRDefault="00E22E51" w:rsidP="00E22E51">
      <w:pPr>
        <w:shd w:val="clear" w:color="auto" w:fill="FFFFFF"/>
        <w:spacing w:after="0" w:line="270" w:lineRule="atLeast"/>
        <w:rPr>
          <w:rFonts w:eastAsia="Times New Roman" w:cs="Arial"/>
          <w:sz w:val="24"/>
          <w:szCs w:val="24"/>
          <w:lang w:eastAsia="it-IT"/>
        </w:rPr>
      </w:pPr>
      <w:hyperlink r:id="rId6" w:history="1">
        <w:r w:rsidRPr="00E22E51">
          <w:rPr>
            <w:rFonts w:eastAsia="Times New Roman" w:cs="Arial"/>
            <w:b/>
            <w:bCs/>
            <w:i/>
            <w:iCs/>
            <w:sz w:val="24"/>
            <w:szCs w:val="24"/>
            <w:lang w:eastAsia="it-IT"/>
          </w:rPr>
          <w:t>Indicazioni terapeutiche</w:t>
        </w:r>
      </w:hyperlink>
    </w:p>
    <w:p w:rsidR="00E22E51" w:rsidRPr="00E22E51" w:rsidRDefault="00E22E51" w:rsidP="00E22E51">
      <w:pPr>
        <w:shd w:val="clear" w:color="auto" w:fill="FFFFFF"/>
        <w:spacing w:after="0" w:line="270" w:lineRule="atLeast"/>
        <w:rPr>
          <w:rFonts w:eastAsia="Times New Roman" w:cs="Arial"/>
          <w:sz w:val="24"/>
          <w:szCs w:val="24"/>
          <w:lang w:eastAsia="it-IT"/>
        </w:rPr>
      </w:pPr>
      <w:r w:rsidRPr="00E22E51">
        <w:rPr>
          <w:rFonts w:eastAsia="Times New Roman" w:cs="Arial"/>
          <w:sz w:val="24"/>
          <w:szCs w:val="24"/>
          <w:lang w:eastAsia="it-IT"/>
        </w:rPr>
        <w:t xml:space="preserve">La sindrome di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Dravet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è una grave forma di epilessia ad esordio nel primo anno di vita che si manifesta con crisi febbrili ed afebbrili di lunga durata a realizzare dei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v.e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p. stati di male epilettico (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Dravet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,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Epilepsia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2011). Il marker genetico è costituito dalla presenza di una mutazione del </w:t>
      </w:r>
      <w:hyperlink r:id="rId7" w:history="1">
        <w:r w:rsidRPr="00E22E51">
          <w:rPr>
            <w:rFonts w:eastAsia="Times New Roman" w:cs="Arial"/>
            <w:b/>
            <w:bCs/>
            <w:i/>
            <w:iCs/>
            <w:sz w:val="24"/>
            <w:szCs w:val="24"/>
            <w:lang w:eastAsia="it-IT"/>
          </w:rPr>
          <w:t>gene</w:t>
        </w:r>
      </w:hyperlink>
      <w:r w:rsidRPr="00E22E51">
        <w:rPr>
          <w:rFonts w:eastAsia="Times New Roman" w:cs="Arial"/>
          <w:sz w:val="24"/>
          <w:szCs w:val="24"/>
          <w:lang w:eastAsia="it-IT"/>
        </w:rPr>
        <w:t xml:space="preserve"> SCN1A. Tale mutazione si può anche trovare in casi per lo più familiari di convulsioni febbrili di lunga durata. La sindrome di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Panayiotopoulos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è una forma di epilessia ad esordio </w:t>
      </w:r>
      <w:r w:rsidRPr="00E22E51">
        <w:rPr>
          <w:rFonts w:eastAsia="Times New Roman" w:cs="Arial"/>
          <w:sz w:val="24"/>
          <w:szCs w:val="24"/>
          <w:lang w:eastAsia="it-IT"/>
        </w:rPr>
        <w:lastRenderedPageBreak/>
        <w:t xml:space="preserve">solitamente nei primi anni di vita che si manifesta con crisi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autonomiche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di lunga durata in una percentuale molto elevata di casi (Capovilla et al,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Epilepsia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2009, Specchio et al,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Epilepsia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2011).</w:t>
      </w:r>
    </w:p>
    <w:p w:rsidR="00E22E51" w:rsidRPr="00E22E51" w:rsidRDefault="00E22E51" w:rsidP="00E22E51">
      <w:pPr>
        <w:shd w:val="clear" w:color="auto" w:fill="FFFFFF"/>
        <w:spacing w:after="360" w:line="270" w:lineRule="atLeast"/>
        <w:rPr>
          <w:rFonts w:eastAsia="Times New Roman" w:cs="Arial"/>
          <w:sz w:val="24"/>
          <w:szCs w:val="24"/>
          <w:lang w:eastAsia="it-IT"/>
        </w:rPr>
      </w:pPr>
      <w:r w:rsidRPr="00E22E51">
        <w:rPr>
          <w:rFonts w:eastAsia="Times New Roman" w:cs="Arial"/>
          <w:b/>
          <w:bCs/>
          <w:sz w:val="24"/>
          <w:szCs w:val="24"/>
          <w:lang w:eastAsia="it-IT"/>
        </w:rPr>
        <w:t>Evidenze disponibili</w:t>
      </w:r>
    </w:p>
    <w:p w:rsidR="00E22E51" w:rsidRPr="00E22E51" w:rsidRDefault="00E22E51" w:rsidP="00E22E51">
      <w:pPr>
        <w:shd w:val="clear" w:color="auto" w:fill="FFFFFF"/>
        <w:spacing w:after="0" w:line="270" w:lineRule="atLeast"/>
        <w:rPr>
          <w:rFonts w:eastAsia="Times New Roman" w:cs="Arial"/>
          <w:sz w:val="24"/>
          <w:szCs w:val="24"/>
          <w:lang w:eastAsia="it-IT"/>
        </w:rPr>
      </w:pPr>
      <w:r w:rsidRPr="00E22E51">
        <w:rPr>
          <w:rFonts w:eastAsia="Times New Roman" w:cs="Arial"/>
          <w:b/>
          <w:bCs/>
          <w:i/>
          <w:iCs/>
          <w:sz w:val="24"/>
          <w:szCs w:val="24"/>
          <w:lang w:eastAsia="it-IT"/>
        </w:rPr>
        <w:t>Efficacia</w:t>
      </w:r>
    </w:p>
    <w:p w:rsidR="00E22E51" w:rsidRPr="00E22E51" w:rsidRDefault="00E22E51" w:rsidP="00E22E51">
      <w:pPr>
        <w:shd w:val="clear" w:color="auto" w:fill="FFFFFF"/>
        <w:spacing w:after="360" w:line="270" w:lineRule="atLeast"/>
        <w:rPr>
          <w:rFonts w:eastAsia="Times New Roman" w:cs="Arial"/>
          <w:sz w:val="24"/>
          <w:szCs w:val="24"/>
          <w:lang w:eastAsia="it-IT"/>
        </w:rPr>
      </w:pPr>
      <w:r w:rsidRPr="00E22E51">
        <w:rPr>
          <w:rFonts w:eastAsia="Times New Roman" w:cs="Arial"/>
          <w:sz w:val="24"/>
          <w:szCs w:val="24"/>
          <w:lang w:eastAsia="it-IT"/>
        </w:rPr>
        <w:t xml:space="preserve">Gli studi presenti in letteratura (Scott et al, Lancet 1999;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McIntyre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et al, Lancet 2005;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Mpimbaza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et al,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Pediatrics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2008) hanno confrontato l’utilizzo di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midazolam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soluzione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oromucosa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con quello di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diazepam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rettale, dimostrando un’efficacia pari o, anche se non significativamente, superiore del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midazolam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rispetto al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diazepam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. Il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midazolam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presenta, però, una maggiore facilità d’uso con una conseguente maggior rapidità di intervento terapeutico. La somministrazione rettale, inoltre, in particolare nei bambini più grandi ma soprattutto negli adolescenti, è certamente socialmente imbarazzante e spesso poco accettata dai pazienti stessi e dai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caregivers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>. Ancora, la sua assimilazione può essere ostacolata da fattori intrinseci intestinali, quali ad esempio la ritenzione fecale o la presenza di patologie intercorrenti che causino scariche diarroiche.</w:t>
      </w:r>
    </w:p>
    <w:p w:rsidR="00E22E51" w:rsidRPr="00E22E51" w:rsidRDefault="00E22E51" w:rsidP="00E22E51">
      <w:pPr>
        <w:shd w:val="clear" w:color="auto" w:fill="FFFFFF"/>
        <w:spacing w:after="0" w:line="270" w:lineRule="atLeast"/>
        <w:rPr>
          <w:rFonts w:eastAsia="Times New Roman" w:cs="Arial"/>
          <w:sz w:val="24"/>
          <w:szCs w:val="24"/>
          <w:lang w:eastAsia="it-IT"/>
        </w:rPr>
      </w:pPr>
      <w:r w:rsidRPr="00E22E51">
        <w:rPr>
          <w:rFonts w:eastAsia="Times New Roman" w:cs="Arial"/>
          <w:b/>
          <w:bCs/>
          <w:i/>
          <w:iCs/>
          <w:sz w:val="24"/>
          <w:szCs w:val="24"/>
          <w:lang w:eastAsia="it-IT"/>
        </w:rPr>
        <w:t>Sicurezza</w:t>
      </w:r>
    </w:p>
    <w:p w:rsidR="00E22E51" w:rsidRPr="00E22E51" w:rsidRDefault="00E22E51" w:rsidP="00E22E51">
      <w:pPr>
        <w:shd w:val="clear" w:color="auto" w:fill="FFFFFF"/>
        <w:spacing w:after="360" w:line="270" w:lineRule="atLeast"/>
        <w:rPr>
          <w:rFonts w:eastAsia="Times New Roman" w:cs="Arial"/>
          <w:sz w:val="24"/>
          <w:szCs w:val="24"/>
          <w:lang w:eastAsia="it-IT"/>
        </w:rPr>
      </w:pPr>
      <w:r w:rsidRPr="00E22E51">
        <w:rPr>
          <w:rFonts w:eastAsia="Times New Roman" w:cs="Arial"/>
          <w:sz w:val="24"/>
          <w:szCs w:val="24"/>
          <w:lang w:eastAsia="it-IT"/>
        </w:rPr>
        <w:t xml:space="preserve">Dagli studi presenti in letteratura (Scott et al, Lancet 1999;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McIntyre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et al, Lancet 2005;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Mpimbaza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et al,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Pediatrics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2008), non emergono differenze significative per il rischio di depressione respiratoria tra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midazolam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oromucosale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e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diazepam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rettale. Non vi sono evidenze di altri potenziali eventi avversi di significativa rilevanza clinica.</w:t>
      </w:r>
    </w:p>
    <w:p w:rsidR="00E22E51" w:rsidRPr="00E22E51" w:rsidRDefault="00E22E51" w:rsidP="00E22E51">
      <w:pPr>
        <w:shd w:val="clear" w:color="auto" w:fill="FFFFFF"/>
        <w:spacing w:after="360" w:line="270" w:lineRule="atLeast"/>
        <w:rPr>
          <w:rFonts w:eastAsia="Times New Roman" w:cs="Arial"/>
          <w:sz w:val="24"/>
          <w:szCs w:val="24"/>
          <w:lang w:eastAsia="it-IT"/>
        </w:rPr>
      </w:pPr>
      <w:r w:rsidRPr="00E22E51">
        <w:rPr>
          <w:rFonts w:eastAsia="Times New Roman" w:cs="Arial"/>
          <w:b/>
          <w:bCs/>
          <w:sz w:val="24"/>
          <w:szCs w:val="24"/>
          <w:lang w:eastAsia="it-IT"/>
        </w:rPr>
        <w:t>Particolari avvertenze</w:t>
      </w:r>
    </w:p>
    <w:p w:rsidR="00E22E51" w:rsidRPr="00E22E51" w:rsidRDefault="00E22E51" w:rsidP="00E22E51">
      <w:pPr>
        <w:shd w:val="clear" w:color="auto" w:fill="FFFFFF"/>
        <w:spacing w:after="0" w:line="270" w:lineRule="atLeast"/>
        <w:rPr>
          <w:rFonts w:eastAsia="Times New Roman" w:cs="Arial"/>
          <w:sz w:val="24"/>
          <w:szCs w:val="24"/>
          <w:lang w:eastAsia="it-IT"/>
        </w:rPr>
      </w:pPr>
      <w:r w:rsidRPr="00E22E51">
        <w:rPr>
          <w:rFonts w:eastAsia="Times New Roman" w:cs="Arial"/>
          <w:sz w:val="24"/>
          <w:szCs w:val="24"/>
          <w:lang w:eastAsia="it-IT"/>
        </w:rPr>
        <w:t>La </w:t>
      </w:r>
      <w:hyperlink r:id="rId8" w:history="1">
        <w:r w:rsidRPr="00E22E51">
          <w:rPr>
            <w:rFonts w:eastAsia="Times New Roman" w:cs="Arial"/>
            <w:b/>
            <w:bCs/>
            <w:i/>
            <w:iCs/>
            <w:sz w:val="24"/>
            <w:szCs w:val="24"/>
            <w:lang w:eastAsia="it-IT"/>
          </w:rPr>
          <w:t>posologia</w:t>
        </w:r>
      </w:hyperlink>
      <w:r w:rsidRPr="00E22E51">
        <w:rPr>
          <w:rFonts w:eastAsia="Times New Roman" w:cs="Arial"/>
          <w:sz w:val="24"/>
          <w:szCs w:val="24"/>
          <w:lang w:eastAsia="it-IT"/>
        </w:rPr>
        <w:t xml:space="preserve"> varia in funzione dell’età secondo quanto indicato nel piano terapeutico. La somministrazione tra i 3 e i 6 mesi può avvenire solo in ambito ospedaliero. Qualora la crisi acuta prolungata non risponda al trattamento con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midazolam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oromucosale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, il paziente deve essere ricoverato in ospedale senza una ulteriore somministrazione del farmaco da parte dei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caregivers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>.</w:t>
      </w:r>
    </w:p>
    <w:p w:rsidR="00E22E51" w:rsidRPr="00E22E51" w:rsidRDefault="00E22E51" w:rsidP="00E22E51">
      <w:pPr>
        <w:shd w:val="clear" w:color="auto" w:fill="FFFFFF"/>
        <w:spacing w:after="360" w:line="270" w:lineRule="atLeast"/>
        <w:rPr>
          <w:rFonts w:eastAsia="Times New Roman" w:cs="Arial"/>
          <w:sz w:val="24"/>
          <w:szCs w:val="24"/>
          <w:lang w:eastAsia="it-IT"/>
        </w:rPr>
      </w:pPr>
      <w:r w:rsidRPr="00E22E51">
        <w:rPr>
          <w:rFonts w:eastAsia="Times New Roman" w:cs="Arial"/>
          <w:b/>
          <w:bCs/>
          <w:sz w:val="24"/>
          <w:szCs w:val="24"/>
          <w:lang w:eastAsia="it-IT"/>
        </w:rPr>
        <w:t>Bibliografia</w:t>
      </w:r>
    </w:p>
    <w:p w:rsidR="00E22E51" w:rsidRPr="00E22E51" w:rsidRDefault="00E22E51" w:rsidP="00E22E51">
      <w:pPr>
        <w:shd w:val="clear" w:color="auto" w:fill="FFFFFF"/>
        <w:spacing w:after="360" w:line="270" w:lineRule="atLeast"/>
        <w:rPr>
          <w:rFonts w:eastAsia="Times New Roman" w:cs="Arial"/>
          <w:sz w:val="24"/>
          <w:szCs w:val="24"/>
          <w:lang w:eastAsia="it-IT"/>
        </w:rPr>
      </w:pPr>
      <w:r w:rsidRPr="00E22E51">
        <w:rPr>
          <w:rFonts w:eastAsia="Times New Roman" w:cs="Arial"/>
          <w:sz w:val="24"/>
          <w:szCs w:val="24"/>
          <w:lang w:eastAsia="it-IT"/>
        </w:rPr>
        <w:t> </w:t>
      </w:r>
    </w:p>
    <w:p w:rsidR="00E22E51" w:rsidRPr="00E22E51" w:rsidRDefault="00E22E51" w:rsidP="00E22E51">
      <w:pPr>
        <w:numPr>
          <w:ilvl w:val="0"/>
          <w:numId w:val="12"/>
        </w:numPr>
        <w:shd w:val="clear" w:color="auto" w:fill="FFFFFF"/>
        <w:spacing w:after="0" w:line="270" w:lineRule="atLeast"/>
        <w:ind w:left="420"/>
        <w:rPr>
          <w:rFonts w:eastAsia="Times New Roman" w:cs="Arial"/>
          <w:sz w:val="24"/>
          <w:szCs w:val="24"/>
          <w:lang w:eastAsia="it-IT"/>
        </w:rPr>
      </w:pPr>
      <w:r w:rsidRPr="00E22E51">
        <w:rPr>
          <w:rFonts w:eastAsia="Times New Roman" w:cs="Arial"/>
          <w:sz w:val="24"/>
          <w:szCs w:val="24"/>
          <w:lang w:eastAsia="it-IT"/>
        </w:rPr>
        <w:t>Capovilla G, Vecchi M,  Beccaria F, Sartori S, Minicucci F, Vigevano F. Trattamento dello stato epilettico convulsivo del bambino: raccomandazioni della Lega Italiana Contro l’Epilessia (LICE). 2012</w:t>
      </w:r>
      <w:r w:rsidRPr="00E22E51">
        <w:rPr>
          <w:rFonts w:eastAsia="Times New Roman" w:cs="Arial"/>
          <w:sz w:val="24"/>
          <w:szCs w:val="24"/>
          <w:lang w:eastAsia="it-IT"/>
        </w:rPr>
        <w:br/>
      </w:r>
      <w:hyperlink r:id="rId9" w:history="1">
        <w:r w:rsidRPr="00E22E51">
          <w:rPr>
            <w:rFonts w:eastAsia="Times New Roman" w:cs="Arial"/>
            <w:sz w:val="24"/>
            <w:szCs w:val="24"/>
            <w:lang w:eastAsia="it-IT"/>
          </w:rPr>
          <w:t>http://www.lice.it/pdf/sec_pediatrico.pdf</w:t>
        </w:r>
      </w:hyperlink>
    </w:p>
    <w:p w:rsidR="00E22E51" w:rsidRPr="00E22E51" w:rsidRDefault="00E22E51" w:rsidP="00E22E51">
      <w:pPr>
        <w:numPr>
          <w:ilvl w:val="0"/>
          <w:numId w:val="12"/>
        </w:numPr>
        <w:shd w:val="clear" w:color="auto" w:fill="FFFFFF"/>
        <w:spacing w:after="0" w:line="270" w:lineRule="atLeast"/>
        <w:ind w:left="420"/>
        <w:rPr>
          <w:rFonts w:eastAsia="Times New Roman" w:cs="Arial"/>
          <w:sz w:val="24"/>
          <w:szCs w:val="24"/>
          <w:lang w:eastAsia="it-IT"/>
        </w:rPr>
      </w:pPr>
      <w:r w:rsidRPr="00E22E51">
        <w:rPr>
          <w:rFonts w:eastAsia="Times New Roman" w:cs="Arial"/>
          <w:sz w:val="24"/>
          <w:szCs w:val="24"/>
          <w:lang w:eastAsia="it-IT"/>
        </w:rPr>
        <w:t xml:space="preserve">Capovilla G, Beccaria F, Minicucci F, Sartori S, Vecchi M and Beghi E. Treatment of convulsive status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epilepticus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in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childhood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: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recommendations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of the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Italian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League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Against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Epilepsy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(LICE).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Epilepsia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>, in press.</w:t>
      </w:r>
    </w:p>
    <w:p w:rsidR="00E22E51" w:rsidRPr="00E22E51" w:rsidRDefault="00E22E51" w:rsidP="00E22E51">
      <w:pPr>
        <w:numPr>
          <w:ilvl w:val="0"/>
          <w:numId w:val="12"/>
        </w:numPr>
        <w:shd w:val="clear" w:color="auto" w:fill="FFFFFF"/>
        <w:spacing w:after="0" w:line="270" w:lineRule="atLeast"/>
        <w:ind w:left="420"/>
        <w:rPr>
          <w:rFonts w:eastAsia="Times New Roman" w:cs="Arial"/>
          <w:sz w:val="24"/>
          <w:szCs w:val="24"/>
          <w:lang w:eastAsia="it-IT"/>
        </w:rPr>
      </w:pPr>
      <w:r w:rsidRPr="00E22E51">
        <w:rPr>
          <w:rFonts w:eastAsia="Times New Roman" w:cs="Arial"/>
          <w:sz w:val="24"/>
          <w:szCs w:val="24"/>
          <w:lang w:eastAsia="it-IT"/>
        </w:rPr>
        <w:t xml:space="preserve">Capovilla G, Striano S and Beccarla F.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Changes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in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Panayiotopoulos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sindrome over time.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Epilepsia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2009; 50,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suppl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5: 45-8.</w:t>
      </w:r>
    </w:p>
    <w:p w:rsidR="00E22E51" w:rsidRPr="00E22E51" w:rsidRDefault="00E22E51" w:rsidP="00E22E51">
      <w:pPr>
        <w:numPr>
          <w:ilvl w:val="0"/>
          <w:numId w:val="12"/>
        </w:numPr>
        <w:shd w:val="clear" w:color="auto" w:fill="FFFFFF"/>
        <w:spacing w:after="0" w:line="270" w:lineRule="atLeast"/>
        <w:ind w:left="420"/>
        <w:rPr>
          <w:rFonts w:eastAsia="Times New Roman" w:cs="Arial"/>
          <w:sz w:val="24"/>
          <w:szCs w:val="24"/>
          <w:lang w:eastAsia="it-IT"/>
        </w:rPr>
      </w:pP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Dravet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C. The core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Dravet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sindrome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phenotype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.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Epilepsia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2011,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suppl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2; 3-9.</w:t>
      </w:r>
    </w:p>
    <w:p w:rsidR="00E22E51" w:rsidRPr="00E22E51" w:rsidRDefault="00E22E51" w:rsidP="00E22E51">
      <w:pPr>
        <w:numPr>
          <w:ilvl w:val="0"/>
          <w:numId w:val="12"/>
        </w:numPr>
        <w:shd w:val="clear" w:color="auto" w:fill="FFFFFF"/>
        <w:spacing w:after="0" w:line="270" w:lineRule="atLeast"/>
        <w:ind w:left="420"/>
        <w:rPr>
          <w:rFonts w:eastAsia="Times New Roman" w:cs="Arial"/>
          <w:sz w:val="24"/>
          <w:szCs w:val="24"/>
          <w:lang w:eastAsia="it-IT"/>
        </w:rPr>
      </w:pP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McIntyre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J,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Robertson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S,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Norris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E et al.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Safety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and 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fldChar w:fldCharType="begin"/>
      </w:r>
      <w:r w:rsidRPr="00E22E51">
        <w:rPr>
          <w:rFonts w:eastAsia="Times New Roman" w:cs="Arial"/>
          <w:sz w:val="24"/>
          <w:szCs w:val="24"/>
          <w:lang w:eastAsia="it-IT"/>
        </w:rPr>
        <w:instrText xml:space="preserve"> HYPERLINK "http://www.agenziafarmaco.gov.it/it/glossary/term/3613" </w:instrText>
      </w:r>
      <w:r w:rsidRPr="00E22E51">
        <w:rPr>
          <w:rFonts w:eastAsia="Times New Roman" w:cs="Arial"/>
          <w:sz w:val="24"/>
          <w:szCs w:val="24"/>
          <w:lang w:eastAsia="it-IT"/>
        </w:rPr>
        <w:fldChar w:fldCharType="separate"/>
      </w:r>
      <w:r w:rsidRPr="00E22E51">
        <w:rPr>
          <w:rFonts w:eastAsia="Times New Roman" w:cs="Arial"/>
          <w:b/>
          <w:bCs/>
          <w:i/>
          <w:iCs/>
          <w:sz w:val="24"/>
          <w:szCs w:val="24"/>
          <w:lang w:eastAsia="it-IT"/>
        </w:rPr>
        <w:t>efficacy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fldChar w:fldCharType="end"/>
      </w:r>
      <w:r w:rsidRPr="00E22E51">
        <w:rPr>
          <w:rFonts w:eastAsia="Times New Roman" w:cs="Arial"/>
          <w:sz w:val="24"/>
          <w:szCs w:val="24"/>
          <w:lang w:eastAsia="it-IT"/>
        </w:rPr>
        <w:t xml:space="preserve"> of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buccal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midazolam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versus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rectal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diazepam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for 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fldChar w:fldCharType="begin"/>
      </w:r>
      <w:r w:rsidRPr="00E22E51">
        <w:rPr>
          <w:rFonts w:eastAsia="Times New Roman" w:cs="Arial"/>
          <w:sz w:val="24"/>
          <w:szCs w:val="24"/>
          <w:lang w:eastAsia="it-IT"/>
        </w:rPr>
        <w:instrText xml:space="preserve"> HYPERLINK "http://www.agenziafarmaco.gov.it/it/glossary/term/3619" </w:instrText>
      </w:r>
      <w:r w:rsidRPr="00E22E51">
        <w:rPr>
          <w:rFonts w:eastAsia="Times New Roman" w:cs="Arial"/>
          <w:sz w:val="24"/>
          <w:szCs w:val="24"/>
          <w:lang w:eastAsia="it-IT"/>
        </w:rPr>
        <w:fldChar w:fldCharType="separate"/>
      </w:r>
      <w:r w:rsidRPr="00E22E51">
        <w:rPr>
          <w:rFonts w:eastAsia="Times New Roman" w:cs="Arial"/>
          <w:b/>
          <w:bCs/>
          <w:i/>
          <w:iCs/>
          <w:sz w:val="24"/>
          <w:szCs w:val="24"/>
          <w:lang w:eastAsia="it-IT"/>
        </w:rPr>
        <w:t>emergency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fldChar w:fldCharType="end"/>
      </w:r>
      <w:r w:rsidRPr="00E22E51">
        <w:rPr>
          <w:rFonts w:eastAsia="Times New Roman" w:cs="Arial"/>
          <w:sz w:val="24"/>
          <w:szCs w:val="24"/>
          <w:lang w:eastAsia="it-IT"/>
        </w:rPr>
        <w:t xml:space="preserve"> treatment of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seizures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in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children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: a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randomised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controlled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trial. Lancet 2005; 366: 205-210.</w:t>
      </w:r>
    </w:p>
    <w:p w:rsidR="00E22E51" w:rsidRPr="00E22E51" w:rsidRDefault="00E22E51" w:rsidP="00E22E51">
      <w:pPr>
        <w:numPr>
          <w:ilvl w:val="0"/>
          <w:numId w:val="12"/>
        </w:numPr>
        <w:shd w:val="clear" w:color="auto" w:fill="FFFFFF"/>
        <w:spacing w:after="0" w:line="270" w:lineRule="atLeast"/>
        <w:ind w:left="420"/>
        <w:rPr>
          <w:rFonts w:eastAsia="Times New Roman" w:cs="Arial"/>
          <w:sz w:val="24"/>
          <w:szCs w:val="24"/>
          <w:lang w:eastAsia="it-IT"/>
        </w:rPr>
      </w:pP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Mpimbaza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A,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Ndeezi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G,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Staedke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S,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Rosenthal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PJ,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Byarugaba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J.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Comparison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of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buccal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midazolam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with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rectal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diazepam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in the treatment of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prolonged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seizures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in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Ugandan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children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: a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randomized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clinical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trial.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Pediatrics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2008; 121: e58-64.</w:t>
      </w:r>
    </w:p>
    <w:p w:rsidR="00E22E51" w:rsidRPr="00E22E51" w:rsidRDefault="00E22E51" w:rsidP="00E22E51">
      <w:pPr>
        <w:numPr>
          <w:ilvl w:val="0"/>
          <w:numId w:val="12"/>
        </w:numPr>
        <w:shd w:val="clear" w:color="auto" w:fill="FFFFFF"/>
        <w:spacing w:after="0" w:line="270" w:lineRule="atLeast"/>
        <w:ind w:left="420"/>
        <w:rPr>
          <w:rFonts w:eastAsia="Times New Roman" w:cs="Arial"/>
          <w:sz w:val="24"/>
          <w:szCs w:val="24"/>
          <w:lang w:eastAsia="it-IT"/>
        </w:rPr>
      </w:pPr>
      <w:r w:rsidRPr="00E22E51">
        <w:rPr>
          <w:rFonts w:eastAsia="Times New Roman" w:cs="Arial"/>
          <w:sz w:val="24"/>
          <w:szCs w:val="24"/>
          <w:lang w:eastAsia="it-IT"/>
        </w:rPr>
        <w:lastRenderedPageBreak/>
        <w:t xml:space="preserve">National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Institute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for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Health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and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Clinical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Excellence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(NICE). The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epilepsies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: the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diagnosis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and management of the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epilepsies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in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adults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and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children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in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primary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and</w:t>
      </w:r>
      <w:hyperlink r:id="rId10" w:history="1">
        <w:r w:rsidRPr="00E22E51">
          <w:rPr>
            <w:rFonts w:eastAsia="Times New Roman" w:cs="Arial"/>
            <w:b/>
            <w:bCs/>
            <w:i/>
            <w:iCs/>
            <w:sz w:val="24"/>
            <w:szCs w:val="24"/>
            <w:lang w:eastAsia="it-IT"/>
          </w:rPr>
          <w:t>secondary</w:t>
        </w:r>
        <w:proofErr w:type="spellEnd"/>
        <w:r w:rsidRPr="00E22E51">
          <w:rPr>
            <w:rFonts w:eastAsia="Times New Roman" w:cs="Arial"/>
            <w:b/>
            <w:bCs/>
            <w:i/>
            <w:iCs/>
            <w:sz w:val="24"/>
            <w:szCs w:val="24"/>
            <w:lang w:eastAsia="it-IT"/>
          </w:rPr>
          <w:t xml:space="preserve"> care</w:t>
        </w:r>
      </w:hyperlink>
      <w:r w:rsidRPr="00E22E51">
        <w:rPr>
          <w:rFonts w:eastAsia="Times New Roman" w:cs="Arial"/>
          <w:sz w:val="24"/>
          <w:szCs w:val="24"/>
          <w:lang w:eastAsia="it-IT"/>
        </w:rPr>
        <w:t xml:space="preserve">. NHS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Evidence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>, 2012.</w:t>
      </w:r>
    </w:p>
    <w:p w:rsidR="00E22E51" w:rsidRPr="00E22E51" w:rsidRDefault="00E22E51" w:rsidP="00E22E51">
      <w:pPr>
        <w:numPr>
          <w:ilvl w:val="0"/>
          <w:numId w:val="12"/>
        </w:numPr>
        <w:shd w:val="clear" w:color="auto" w:fill="FFFFFF"/>
        <w:spacing w:after="0" w:line="270" w:lineRule="atLeast"/>
        <w:ind w:left="420"/>
        <w:rPr>
          <w:rFonts w:eastAsia="Times New Roman" w:cs="Arial"/>
          <w:sz w:val="24"/>
          <w:szCs w:val="24"/>
          <w:lang w:eastAsia="it-IT"/>
        </w:rPr>
      </w:pPr>
      <w:r w:rsidRPr="00E22E51">
        <w:rPr>
          <w:rFonts w:eastAsia="Times New Roman" w:cs="Arial"/>
          <w:sz w:val="24"/>
          <w:szCs w:val="24"/>
          <w:lang w:eastAsia="it-IT"/>
        </w:rPr>
        <w:t xml:space="preserve">Scott RC,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Besag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FM, Neville BG.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Buccal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midazolam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and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rectal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diazepam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for treatment of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prolonged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seizures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in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childhood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and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adolescence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: a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randomised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trial. Lancet 1999; 353: 623-626.</w:t>
      </w:r>
    </w:p>
    <w:p w:rsidR="00E22E51" w:rsidRPr="00E22E51" w:rsidRDefault="00E22E51" w:rsidP="00E22E51">
      <w:pPr>
        <w:numPr>
          <w:ilvl w:val="0"/>
          <w:numId w:val="12"/>
        </w:numPr>
        <w:shd w:val="clear" w:color="auto" w:fill="FFFFFF"/>
        <w:spacing w:after="0" w:line="270" w:lineRule="atLeast"/>
        <w:ind w:left="420"/>
        <w:rPr>
          <w:rFonts w:eastAsia="Times New Roman" w:cs="Arial"/>
          <w:sz w:val="24"/>
          <w:szCs w:val="24"/>
          <w:lang w:eastAsia="it-IT"/>
        </w:rPr>
      </w:pPr>
      <w:r w:rsidRPr="00E22E51">
        <w:rPr>
          <w:rFonts w:eastAsia="Times New Roman" w:cs="Arial"/>
          <w:sz w:val="24"/>
          <w:szCs w:val="24"/>
          <w:lang w:eastAsia="it-IT"/>
        </w:rPr>
        <w:t xml:space="preserve">Specchio N,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Trivisano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M, Di Ciompo V, Cappelletti S, Masciarelli G, Volkov J, Fusco L and Vigevano F.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Panayiotopoulos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syndrome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: A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clinical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, EEG and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neuropsychological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study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of 93 consecutive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patients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. </w:t>
      </w:r>
      <w:proofErr w:type="spellStart"/>
      <w:r w:rsidRPr="00E22E51">
        <w:rPr>
          <w:rFonts w:eastAsia="Times New Roman" w:cs="Arial"/>
          <w:sz w:val="24"/>
          <w:szCs w:val="24"/>
          <w:lang w:eastAsia="it-IT"/>
        </w:rPr>
        <w:t>Epilepsia</w:t>
      </w:r>
      <w:proofErr w:type="spellEnd"/>
      <w:r w:rsidRPr="00E22E51">
        <w:rPr>
          <w:rFonts w:eastAsia="Times New Roman" w:cs="Arial"/>
          <w:sz w:val="24"/>
          <w:szCs w:val="24"/>
          <w:lang w:eastAsia="it-IT"/>
        </w:rPr>
        <w:t xml:space="preserve"> 2011; 51: 2098-2107.</w:t>
      </w:r>
    </w:p>
    <w:bookmarkEnd w:id="0"/>
    <w:p w:rsidR="002A3563" w:rsidRPr="00E22E51" w:rsidRDefault="00E22E51" w:rsidP="00E22E51">
      <w:pPr>
        <w:rPr>
          <w:sz w:val="24"/>
          <w:szCs w:val="24"/>
        </w:rPr>
      </w:pPr>
    </w:p>
    <w:sectPr w:rsidR="002A3563" w:rsidRPr="00E22E51" w:rsidSect="00F2109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7787"/>
    <w:multiLevelType w:val="multilevel"/>
    <w:tmpl w:val="9D5E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E45BCD"/>
    <w:multiLevelType w:val="multilevel"/>
    <w:tmpl w:val="171C1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645820"/>
    <w:multiLevelType w:val="multilevel"/>
    <w:tmpl w:val="F47A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994824"/>
    <w:multiLevelType w:val="multilevel"/>
    <w:tmpl w:val="9722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6823D6"/>
    <w:multiLevelType w:val="multilevel"/>
    <w:tmpl w:val="F2F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A2681A"/>
    <w:multiLevelType w:val="multilevel"/>
    <w:tmpl w:val="021C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2A66A1"/>
    <w:multiLevelType w:val="multilevel"/>
    <w:tmpl w:val="D4B6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E15C85"/>
    <w:multiLevelType w:val="multilevel"/>
    <w:tmpl w:val="4552B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1D7D2D"/>
    <w:multiLevelType w:val="multilevel"/>
    <w:tmpl w:val="DF16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9F65C5"/>
    <w:multiLevelType w:val="multilevel"/>
    <w:tmpl w:val="FC1A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8955AE"/>
    <w:multiLevelType w:val="multilevel"/>
    <w:tmpl w:val="7EC2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6C200A0"/>
    <w:multiLevelType w:val="multilevel"/>
    <w:tmpl w:val="6A326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9"/>
  </w:num>
  <w:num w:numId="7">
    <w:abstractNumId w:val="11"/>
  </w:num>
  <w:num w:numId="8">
    <w:abstractNumId w:val="10"/>
  </w:num>
  <w:num w:numId="9">
    <w:abstractNumId w:val="2"/>
  </w:num>
  <w:num w:numId="10">
    <w:abstractNumId w:val="5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091"/>
    <w:rsid w:val="001B1340"/>
    <w:rsid w:val="002A52F0"/>
    <w:rsid w:val="00350D6E"/>
    <w:rsid w:val="00355A15"/>
    <w:rsid w:val="003B29B4"/>
    <w:rsid w:val="0054414F"/>
    <w:rsid w:val="008B124D"/>
    <w:rsid w:val="00AA1FA5"/>
    <w:rsid w:val="00DB04DD"/>
    <w:rsid w:val="00E22E51"/>
    <w:rsid w:val="00F2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2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B1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1091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unhideWhenUsed/>
    <w:rsid w:val="00F2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F21091"/>
    <w:rPr>
      <w:b/>
      <w:bCs/>
    </w:rPr>
  </w:style>
  <w:style w:type="character" w:customStyle="1" w:styleId="apple-converted-space">
    <w:name w:val="apple-converted-space"/>
    <w:basedOn w:val="Carpredefinitoparagrafo"/>
    <w:rsid w:val="00F21091"/>
  </w:style>
  <w:style w:type="character" w:styleId="DefinizioneHTML">
    <w:name w:val="HTML Definition"/>
    <w:basedOn w:val="Carpredefinitoparagrafo"/>
    <w:uiPriority w:val="99"/>
    <w:semiHidden/>
    <w:unhideWhenUsed/>
    <w:rsid w:val="00F21091"/>
    <w:rPr>
      <w:i/>
      <w:iCs/>
    </w:rPr>
  </w:style>
  <w:style w:type="character" w:styleId="Enfasicorsivo">
    <w:name w:val="Emphasis"/>
    <w:basedOn w:val="Carpredefinitoparagrafo"/>
    <w:uiPriority w:val="20"/>
    <w:qFormat/>
    <w:rsid w:val="00AA1FA5"/>
    <w:rPr>
      <w:i/>
      <w:iCs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B1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llegamentoipertestuale">
    <w:name w:val="Hyperlink"/>
    <w:basedOn w:val="Carpredefinitoparagrafo"/>
    <w:uiPriority w:val="99"/>
    <w:semiHidden/>
    <w:unhideWhenUsed/>
    <w:rsid w:val="008B12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2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B1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1091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unhideWhenUsed/>
    <w:rsid w:val="00F2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F21091"/>
    <w:rPr>
      <w:b/>
      <w:bCs/>
    </w:rPr>
  </w:style>
  <w:style w:type="character" w:customStyle="1" w:styleId="apple-converted-space">
    <w:name w:val="apple-converted-space"/>
    <w:basedOn w:val="Carpredefinitoparagrafo"/>
    <w:rsid w:val="00F21091"/>
  </w:style>
  <w:style w:type="character" w:styleId="DefinizioneHTML">
    <w:name w:val="HTML Definition"/>
    <w:basedOn w:val="Carpredefinitoparagrafo"/>
    <w:uiPriority w:val="99"/>
    <w:semiHidden/>
    <w:unhideWhenUsed/>
    <w:rsid w:val="00F21091"/>
    <w:rPr>
      <w:i/>
      <w:iCs/>
    </w:rPr>
  </w:style>
  <w:style w:type="character" w:styleId="Enfasicorsivo">
    <w:name w:val="Emphasis"/>
    <w:basedOn w:val="Carpredefinitoparagrafo"/>
    <w:uiPriority w:val="20"/>
    <w:qFormat/>
    <w:rsid w:val="00AA1FA5"/>
    <w:rPr>
      <w:i/>
      <w:iCs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B1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llegamentoipertestuale">
    <w:name w:val="Hyperlink"/>
    <w:basedOn w:val="Carpredefinitoparagrafo"/>
    <w:uiPriority w:val="99"/>
    <w:semiHidden/>
    <w:unhideWhenUsed/>
    <w:rsid w:val="008B12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3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8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5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enziafarmaco.gov.it/it/glossary/term/146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genziafarmaco.gov.it/it/glossary/term/145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genziafarmaco.gov.it/it/glossary/term/146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genziafarmaco.gov.it/it/glossary/term/353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ce.it/pdf/sec_pediatrico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Sacco</dc:creator>
  <cp:lastModifiedBy>Luca Sacco</cp:lastModifiedBy>
  <cp:revision>2</cp:revision>
  <cp:lastPrinted>2014-03-21T10:51:00Z</cp:lastPrinted>
  <dcterms:created xsi:type="dcterms:W3CDTF">2014-03-21T10:52:00Z</dcterms:created>
  <dcterms:modified xsi:type="dcterms:W3CDTF">2014-03-21T10:52:00Z</dcterms:modified>
</cp:coreProperties>
</file>