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After analyzing the sample dataset of crowdfunding data, I would like to mention four conclusions I drew about crowdfunding campaigns. Technology projects seem to have the highest success rate. Campaigns during June and July have a slightly higher success rate. Goals ranging from $15,000 - $35,000 seem to have a higher success rate than other goal values. Finally, a significant proportion of successful projects have 201 backers or less.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One limitation of this dataset is that it is only a sample of 1,000. A larger sample could offer more insight. Other limitations could result due to the fact that I don’t know the source of this data or how it was collected, therefore I don’t have any knowledge of the reliability of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It may be interesting to see what trends, if any, are seen in the number of backers per category for successful vs. failed campaigns. Likewise for the average donation amount per category - this may offer insight into a suggested amount to ask for while campaigning for a project.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