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28"/>
          <w:szCs w:val="28"/>
        </w:rPr>
        <w:t xml:space="preserve">Project Design Phase-II</w:t>
      </w:r>
    </w:p>
    <w:p>
      <w:pPr>
        <w:spacing w:after="300"/>
        <w:jc w:val="center"/>
      </w:pPr>
      <w:r>
        <w:rPr>
          <w:b/>
          <w:bCs/>
          <w:sz w:val="28"/>
          <w:szCs w:val="28"/>
        </w:rPr>
        <w:t xml:space="preserve">Solution Requirements (Functional &amp; Non-functional)</w:t>
      </w:r>
    </w:p>
    <w:tbl>
      <w:tblPr>
        <w:tblW w:type="dxa" w:w="90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</w:tblGrid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6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06/09/2026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Team ID</w:t>
            </w:r>
          </w:p>
        </w:tc>
        <w:tc>
          <w:tcPr>
            <w:tcW w:type="dxa" w:w="6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Servicenow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Project Name</w:t>
            </w:r>
          </w:p>
        </w:tc>
        <w:tc>
          <w:tcPr>
            <w:tcW w:type="dxa" w:w="6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Automated Network Request Management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Maximum Marks</w:t>
            </w:r>
          </w:p>
        </w:tc>
        <w:tc>
          <w:tcPr>
            <w:tcW w:type="dxa" w:w="6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 Marks</w:t>
            </w:r>
          </w:p>
        </w:tc>
      </w:tr>
    </w:tbl>
    <w:p/>
    <w:p>
      <w:pPr>
        <w:spacing w:after="120" w:before="300"/>
      </w:pPr>
      <w:r>
        <w:rPr>
          <w:b/>
          <w:bCs/>
          <w:sz w:val="24"/>
          <w:szCs w:val="24"/>
        </w:rPr>
        <w:t xml:space="preserve">Functional Requirements:</w:t>
      </w:r>
    </w:p>
    <w:p>
      <w:pPr>
        <w:spacing w:after="160"/>
      </w:pPr>
      <w:r>
        <w:t xml:space="preserve">Following are the functional requirements of the proposed solution.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100"/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FR No.</w:t>
            </w:r>
          </w:p>
        </w:tc>
        <w:tc>
          <w:tcPr>
            <w:tcW w:type="dxa" w:w="3100"/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Functional Requirement (Epic)</w:t>
            </w:r>
          </w:p>
        </w:tc>
        <w:tc>
          <w:tcPr>
            <w:tcW w:type="dxa" w:w="4600"/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Sub Requirement (Story / Sub-Task)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FR-1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Network Request Submission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Submit request via the Network Request Service Catalog item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Capture connection type, address, and payment details through catalog variables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FR-2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Requester Auto-Population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Auto-populate requester's name, email, and phone via the Request Information variable set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Allow submission on behalf of another user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FR-3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Conditional Form Behaviour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Show “Enter your Existing ID” field only when Type of Connection = Existing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Hide the field for New connection requests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FR-4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Automated Record Creation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Create a record on the Database Tables (u_database_tables) table on submission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Map all catalog variables to the corresponding table fields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FR-5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Approval Routing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Route the created request for approval through ServiceNow's native Approval engine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Update Approval Status based on the outcome (Approved / Rejected)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FR-6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Send an email confirmation when the request is submitted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Send an email update once the approval decision is made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FR-7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Access Control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Restrict create / read / write / delete on request records to the u_database_tables_user role</w:t>
            </w:r>
          </w:p>
        </w:tc>
      </w:tr>
    </w:tbl>
    <w:p>
      <w:pPr>
        <w:spacing w:before="300"/>
      </w:pPr>
    </w:p>
    <w:p>
      <w:pPr>
        <w:spacing w:after="120" w:before="300"/>
      </w:pPr>
      <w:r>
        <w:rPr>
          <w:b/>
          <w:bCs/>
          <w:sz w:val="24"/>
          <w:szCs w:val="24"/>
        </w:rPr>
        <w:t xml:space="preserve">Non-functional Requirements:</w:t>
      </w:r>
    </w:p>
    <w:p>
      <w:pPr>
        <w:spacing w:after="160"/>
      </w:pPr>
      <w:r>
        <w:t xml:space="preserve">Following are the non-functional requirements of the proposed solution.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100"/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NFR No.</w:t>
            </w:r>
          </w:p>
        </w:tc>
        <w:tc>
          <w:tcPr>
            <w:tcW w:type="dxa" w:w="2700"/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Non-Functional Requirement</w:t>
            </w:r>
          </w:p>
        </w:tc>
        <w:tc>
          <w:tcPr>
            <w:tcW w:type="dxa" w:w="5000"/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NFR-1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Usability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 single, guided catalog form with conditional fields, so requesters submit a request without needing IT assistance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NFR-2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Security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Role-based ACLs (u_database_tables_user) restrict who can view or modify request data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NFR-3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Reliability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Flow Designer executes the same sequence of steps for every request, ensuring consistent record creation, approval routing, and status updates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NFR-4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Request submission, record creation, and email dispatch complete in real time on the ServiceNow platform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NFR-5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Availability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Hosted on a ServiceNow instance, inheriting the platform's vendor-managed uptime and availability SLAs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NFR-6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Scalability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Built on ServiceNow's multi-tenant platform; additional request types or approval stages can be added without redesigning the solution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2026-09-06T11:03:43.701Z</dcterms:created>
  <dcterms:modified xsi:type="dcterms:W3CDTF">2026-09-06T11:03:43.701Z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