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EC1B01" w:rsidP="00B357ED">
      <w:pPr>
        <w:pStyle w:val="Title"/>
      </w:pPr>
      <w:r>
        <w:fldChar w:fldCharType="begin"/>
      </w:r>
      <w:r>
        <w:instrText xml:space="preserve"> TITLE "Структура проекта" \* MERGEFORMAT </w:instrText>
      </w:r>
      <w:r>
        <w:fldChar w:fldCharType="separate"/>
      </w:r>
      <w:r w:rsidR="003F5FC7">
        <w:t>Структура проекта</w:t>
      </w:r>
      <w:r>
        <w:fldChar w:fldCharType="end"/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Heading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FootnoteReference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Hyperlink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Hyperlink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Hyperlink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Hyperlink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Hyperlink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Hyperlink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Роли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Hyperlink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Знания</w:t>
        </w:r>
        <w:r w:rsidR="009053F7" w:rsidRPr="00D735C2">
          <w:rPr>
            <w:rStyle w:val="Hyperlink"/>
            <w:noProof/>
            <w:lang w:val="en-US"/>
          </w:rPr>
          <w:t xml:space="preserve">, </w:t>
        </w:r>
        <w:r w:rsidR="009053F7" w:rsidRPr="00D735C2">
          <w:rPr>
            <w:rStyle w:val="Hyperlink"/>
            <w:noProof/>
          </w:rPr>
          <w:t>умения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Hyperlink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Hyperlink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Hyperlink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Hyperlink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Hyperlink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Hyperlink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Достижение качества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581157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Hyperlink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Heading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0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0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0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0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0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0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0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0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Heading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0"/>
          <w:color w:val="0000FF"/>
        </w:rPr>
        <w:t>треугольник</w:t>
      </w:r>
      <w:r w:rsidR="00C701E5" w:rsidRPr="00C701E5">
        <w:rPr>
          <w:rStyle w:val="a0"/>
          <w:color w:val="0000FF"/>
        </w:rPr>
        <w:t xml:space="preserve"> компромисов</w:t>
      </w:r>
      <w:r w:rsidR="00C701E5">
        <w:rPr>
          <w:rStyle w:val="a0"/>
          <w:color w:val="0000FF"/>
        </w:rPr>
        <w:t xml:space="preserve"> </w:t>
      </w:r>
      <w:r w:rsidR="00C701E5" w:rsidRPr="0004791F">
        <w:rPr>
          <w:color w:val="0000FF"/>
        </w:rPr>
        <w:t>(</w:t>
      </w:r>
      <w:r w:rsidR="00C701E5" w:rsidRPr="0004791F">
        <w:rPr>
          <w:rStyle w:val="a0"/>
          <w:color w:val="0000FF"/>
        </w:rPr>
        <w:t xml:space="preserve">tradeoff </w:t>
      </w:r>
      <w:r w:rsidR="00C701E5">
        <w:rPr>
          <w:rStyle w:val="a0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FootnoteReference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0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r w:rsidRPr="0004791F">
        <w:rPr>
          <w:rStyle w:val="a0"/>
          <w:color w:val="0000FF"/>
        </w:rPr>
        <w:t>project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«YourNewTaxi»</w:t>
      </w:r>
      <w:r w:rsidRPr="00BF60B2">
        <w:t xml:space="preserve"> должен быть готов к окончанию 2016 года. </w:t>
      </w:r>
      <w:r>
        <w:t xml:space="preserve"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«милитари».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r>
        <w:t>и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  <w:lang w:val="en-US" w:eastAsia="en-US"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Heading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BA3AB0" w:rsidRDefault="00C42F5B" w:rsidP="00103BFB">
      <w:r>
        <w:t>Итак, вехами следует считать стадии готовности продукта</w:t>
      </w:r>
      <w:r w:rsidR="00BA3AB0" w:rsidRPr="00BA3AB0">
        <w:t xml:space="preserve"> </w:t>
      </w:r>
      <w:r w:rsidR="00BA3AB0">
        <w:t>и документации к оному.</w:t>
      </w:r>
    </w:p>
    <w:p w:rsidR="00BA3AB0" w:rsidRDefault="00BA3AB0" w:rsidP="00103BFB">
      <w:r>
        <w:t>Опишем вехи следующим образом.</w:t>
      </w:r>
    </w:p>
    <w:p w:rsidR="00BA3AB0" w:rsidRDefault="00BA3AB0" w:rsidP="00103BFB">
      <w:r>
        <w:lastRenderedPageBreak/>
        <w:t xml:space="preserve">А. </w:t>
      </w:r>
      <w:r>
        <w:rPr>
          <w:i/>
        </w:rPr>
        <w:t>Постановка задачи</w:t>
      </w:r>
    </w:p>
    <w:p w:rsidR="00BA3AB0" w:rsidRDefault="00BA3AB0" w:rsidP="00103BFB">
      <w:r>
        <w:t>Получение заказа на разработку программного продукта. Обсуждение функционала будущего приложения(ий). Заключение договора. Разработка концепции проекта.</w:t>
      </w:r>
    </w:p>
    <w:p w:rsidR="00BA3AB0" w:rsidRDefault="00BA3AB0" w:rsidP="00103BFB">
      <w:pPr>
        <w:rPr>
          <w:i/>
        </w:rPr>
      </w:pPr>
      <w:r>
        <w:t xml:space="preserve">Б. </w:t>
      </w:r>
      <w:r>
        <w:rPr>
          <w:i/>
        </w:rPr>
        <w:t>Подготовка рабочей среды</w:t>
      </w:r>
    </w:p>
    <w:p w:rsidR="00BA3AB0" w:rsidRDefault="00BA3AB0" w:rsidP="00103BFB">
      <w:r>
        <w:t xml:space="preserve">Описание структуры проекта. Выбор </w:t>
      </w:r>
      <w:r w:rsidR="00502F41">
        <w:t>инструментов для разработки и организации рабочего процесса внутри команды. Распределение ресурсов, составление сметы и согласовывание оной с заказчиком. Детализация требований к продукту.</w:t>
      </w:r>
    </w:p>
    <w:p w:rsidR="00502F41" w:rsidRDefault="00502F41" w:rsidP="00103BFB">
      <w:r>
        <w:t xml:space="preserve">В. </w:t>
      </w:r>
      <w:r>
        <w:rPr>
          <w:i/>
        </w:rPr>
        <w:t>Разработка функциональной спецификации</w:t>
      </w:r>
    </w:p>
    <w:p w:rsidR="00502F41" w:rsidRDefault="00502F41" w:rsidP="00103BFB">
      <w:r>
        <w:t xml:space="preserve">Создание концептуального, логического и физического проектов. Разрабокта дизайна продукта в виде требований к нему с точки зрения </w:t>
      </w:r>
      <w:r w:rsidRPr="00502F41">
        <w:t>заказчика, пользователей, аппаратного и программного окружения</w:t>
      </w:r>
      <w:r>
        <w:t>. Создание каркаса проекта в выбранной среде или в рамках иных используемых инструментов (в т.ч. языка программирования, среды разработки и т.д.).</w:t>
      </w:r>
    </w:p>
    <w:p w:rsidR="00502F41" w:rsidRDefault="00502F41" w:rsidP="00103BFB">
      <w:pPr>
        <w:rPr>
          <w:i/>
        </w:rPr>
      </w:pPr>
      <w:r>
        <w:t xml:space="preserve">Г. </w:t>
      </w:r>
      <w:r>
        <w:rPr>
          <w:i/>
        </w:rPr>
        <w:t>Базовый</w:t>
      </w:r>
      <w:r w:rsidR="004C2852">
        <w:rPr>
          <w:i/>
        </w:rPr>
        <w:t xml:space="preserve"> (неполный)</w:t>
      </w:r>
      <w:r>
        <w:rPr>
          <w:i/>
        </w:rPr>
        <w:t xml:space="preserve"> функционал</w:t>
      </w:r>
    </w:p>
    <w:p w:rsidR="00502F41" w:rsidRDefault="004C2852" w:rsidP="00103BFB">
      <w:r>
        <w:t xml:space="preserve">Разработка базового функционала продукта. </w:t>
      </w:r>
      <w:r w:rsidR="00502F41">
        <w:t>Разработка</w:t>
      </w:r>
      <w:r>
        <w:t xml:space="preserve"> спецификаций и сценарий тестов как для имеющегося функционала, так и для будущего.</w:t>
      </w:r>
    </w:p>
    <w:p w:rsidR="004C2852" w:rsidRDefault="004C2852" w:rsidP="00103BFB">
      <w:pPr>
        <w:rPr>
          <w:i/>
        </w:rPr>
      </w:pPr>
      <w:r>
        <w:t xml:space="preserve">Д. </w:t>
      </w:r>
      <w:r>
        <w:rPr>
          <w:i/>
        </w:rPr>
        <w:t>Базовый (полный) функционал</w:t>
      </w:r>
    </w:p>
    <w:p w:rsidR="00BA3AB0" w:rsidRDefault="004C2852" w:rsidP="00103BFB">
      <w:r>
        <w:t>Доработка имеющихся характеристик продукта до состояния, при котором возможности программы покрывают большинство сформированных ранее требований.</w:t>
      </w:r>
    </w:p>
    <w:p w:rsidR="004C2852" w:rsidRDefault="004C2852" w:rsidP="00103BFB">
      <w:pPr>
        <w:rPr>
          <w:i/>
        </w:rPr>
      </w:pPr>
      <w:r>
        <w:t xml:space="preserve">Е. </w:t>
      </w:r>
      <w:r>
        <w:rPr>
          <w:i/>
        </w:rPr>
        <w:t>Тестирование</w:t>
      </w:r>
    </w:p>
    <w:p w:rsidR="004C2852" w:rsidRDefault="004C2852" w:rsidP="00103BFB">
      <w:r>
        <w:t>Тестирование. Документирование процедур и результатов тестирования имеющегося функционала. Доработка продукта в соответст</w:t>
      </w:r>
      <w:r w:rsidR="00FB53BD">
        <w:t>вии с откорректированным в ходе тестирования курсом.</w:t>
      </w:r>
    </w:p>
    <w:p w:rsidR="00FB53BD" w:rsidRDefault="00FB53BD" w:rsidP="00103BFB">
      <w:pPr>
        <w:rPr>
          <w:i/>
        </w:rPr>
      </w:pPr>
      <w:r>
        <w:t xml:space="preserve">Ё. </w:t>
      </w:r>
      <w:r>
        <w:rPr>
          <w:i/>
        </w:rPr>
        <w:t>Предрелиз</w:t>
      </w:r>
    </w:p>
    <w:p w:rsidR="00FB53BD" w:rsidRDefault="00FB53BD" w:rsidP="00103BFB">
      <w:r>
        <w:t>Доведение программного продукта до презентабельного состояния. Выдача продукта заказчику.</w:t>
      </w:r>
    </w:p>
    <w:p w:rsidR="00FB53BD" w:rsidRDefault="00FB53BD" w:rsidP="00103BFB">
      <w:r>
        <w:t xml:space="preserve">Ж. </w:t>
      </w:r>
      <w:r>
        <w:rPr>
          <w:i/>
        </w:rPr>
        <w:t>Внедрение</w:t>
      </w:r>
    </w:p>
    <w:p w:rsidR="00FB53BD" w:rsidRDefault="00FB53BD" w:rsidP="00103BFB">
      <w:r>
        <w:t>Установка продукта заказчику. Конфигурирование системы и проверка её работоспособности. Получение вознаграждения в соответствии с заключённым договором.</w:t>
      </w:r>
    </w:p>
    <w:p w:rsidR="00FB53BD" w:rsidRDefault="00FB53BD" w:rsidP="00103BFB">
      <w:pPr>
        <w:rPr>
          <w:i/>
        </w:rPr>
      </w:pPr>
      <w:r>
        <w:t xml:space="preserve">З. </w:t>
      </w:r>
      <w:r w:rsidR="00E63222">
        <w:rPr>
          <w:i/>
        </w:rPr>
        <w:t>Закрытие проекта</w:t>
      </w:r>
    </w:p>
    <w:p w:rsidR="00E63222" w:rsidRDefault="00E63222" w:rsidP="00103BFB">
      <w:r>
        <w:t>Постпроектный анализ. Закрытие проекта.</w:t>
      </w:r>
    </w:p>
    <w:p w:rsidR="00262AE5" w:rsidRPr="00E63222" w:rsidRDefault="00262AE5" w:rsidP="00103BFB"/>
    <w:p w:rsidR="002C7FB1" w:rsidRDefault="009C4ECC" w:rsidP="00A709EE">
      <w:pPr>
        <w:pStyle w:val="Heading2"/>
      </w:pPr>
      <w:bookmarkStart w:id="8" w:name="_Toc413347591"/>
      <w:bookmarkStart w:id="9" w:name="_GoBack"/>
      <w:bookmarkEnd w:id="9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0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0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списке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требуемом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lastRenderedPageBreak/>
        <w:t>тарифе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каждого ресурса,</w:t>
      </w:r>
    </w:p>
    <w:p w:rsidR="00891610" w:rsidRDefault="00891610" w:rsidP="00DF193D">
      <w:pPr>
        <w:numPr>
          <w:ilvl w:val="0"/>
          <w:numId w:val="20"/>
        </w:numPr>
      </w:pPr>
      <w:r w:rsidRPr="00891610">
        <w:rPr>
          <w:color w:val="0000FF"/>
        </w:rPr>
        <w:t>общей стоимости всех ресурсов, необходимых проектной группе.</w:t>
      </w:r>
      <w:r w:rsidR="00DF193D" w:rsidRPr="006B46BD">
        <w:rPr>
          <w:highlight w:val="yellow"/>
        </w:rPr>
        <w:t xml:space="preserve"> </w:t>
      </w:r>
      <w:r w:rsidR="008E282B"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  <w:r w:rsidR="00471BFC">
        <w:t xml:space="preserve"> Цены указаны в рублях согласно курсу обмена валют на момент составления данного документа. Все цены – суммарные значения по числу разработчиков и длительности по времени.</w:t>
      </w:r>
    </w:p>
    <w:p w:rsidR="00644B0B" w:rsidRDefault="00644B0B" w:rsidP="000A411B">
      <w:r>
        <w:t>ПО: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644B0B" w:rsidTr="000C6DAA">
        <w:trPr>
          <w:trHeight w:val="414"/>
        </w:trPr>
        <w:tc>
          <w:tcPr>
            <w:tcW w:w="4711" w:type="dxa"/>
          </w:tcPr>
          <w:p w:rsidR="00644B0B" w:rsidRPr="00644B0B" w:rsidRDefault="00644B0B" w:rsidP="000C6DAA">
            <w:pPr>
              <w:rPr>
                <w:lang w:val="en-US"/>
              </w:rPr>
            </w:pPr>
            <w:r>
              <w:rPr>
                <w:lang w:val="en-US"/>
              </w:rPr>
              <w:t>MS Visual Studio 2015 Professional</w:t>
            </w:r>
          </w:p>
        </w:tc>
        <w:tc>
          <w:tcPr>
            <w:tcW w:w="4712" w:type="dxa"/>
          </w:tcPr>
          <w:p w:rsidR="00644B0B" w:rsidRPr="00644B0B" w:rsidRDefault="00644B0B" w:rsidP="000C6DAA">
            <w:pPr>
              <w:jc w:val="right"/>
              <w:rPr>
                <w:lang w:val="en-US"/>
              </w:rPr>
            </w:pPr>
            <w:r w:rsidRPr="00644B0B">
              <w:rPr>
                <w:color w:val="000000"/>
                <w:szCs w:val="23"/>
                <w:shd w:val="clear" w:color="auto" w:fill="FFFFFF"/>
                <w:lang w:val="en-US"/>
              </w:rPr>
              <w:t>77 732</w:t>
            </w:r>
            <w:r w:rsidRPr="00644B0B">
              <w:rPr>
                <w:color w:val="000000"/>
                <w:szCs w:val="23"/>
                <w:shd w:val="clear" w:color="auto" w:fill="FFFFFF"/>
              </w:rPr>
              <w:t>,00</w:t>
            </w:r>
          </w:p>
        </w:tc>
      </w:tr>
      <w:tr w:rsidR="00644B0B" w:rsidRPr="000A411B" w:rsidTr="000C6DAA">
        <w:trPr>
          <w:trHeight w:val="399"/>
        </w:trPr>
        <w:tc>
          <w:tcPr>
            <w:tcW w:w="4711" w:type="dxa"/>
          </w:tcPr>
          <w:p w:rsidR="00644B0B" w:rsidRPr="000A411B" w:rsidRDefault="00644B0B" w:rsidP="000C6DAA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712" w:type="dxa"/>
          </w:tcPr>
          <w:p w:rsidR="00644B0B" w:rsidRPr="00262AE5" w:rsidRDefault="00644B0B" w:rsidP="000C6DAA">
            <w:pPr>
              <w:jc w:val="right"/>
            </w:pPr>
            <w:r>
              <w:rPr>
                <w:lang w:val="en-US"/>
              </w:rPr>
              <w:t>55 600</w:t>
            </w:r>
            <w:r w:rsidRPr="00644B0B">
              <w:t>,00</w:t>
            </w:r>
          </w:p>
        </w:tc>
      </w:tr>
      <w:tr w:rsidR="00644B0B" w:rsidRPr="000A411B" w:rsidTr="000C6DAA">
        <w:trPr>
          <w:trHeight w:val="399"/>
        </w:trPr>
        <w:tc>
          <w:tcPr>
            <w:tcW w:w="4711" w:type="dxa"/>
          </w:tcPr>
          <w:p w:rsidR="00644B0B" w:rsidRPr="00471BFC" w:rsidRDefault="00644B0B" w:rsidP="000C6DAA">
            <w:r>
              <w:t>Github Premium</w:t>
            </w:r>
            <w:r w:rsidR="00471BFC">
              <w:t xml:space="preserve"> </w:t>
            </w:r>
            <w:r w:rsidR="00471BFC">
              <w:rPr>
                <w:lang w:val="en-US"/>
              </w:rPr>
              <w:t>Account</w:t>
            </w:r>
          </w:p>
        </w:tc>
        <w:tc>
          <w:tcPr>
            <w:tcW w:w="4712" w:type="dxa"/>
          </w:tcPr>
          <w:p w:rsidR="00644B0B" w:rsidRPr="00262AE5" w:rsidRDefault="008530D9" w:rsidP="000C6D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1 </w:t>
            </w:r>
            <w:r w:rsidR="00644B0B" w:rsidRPr="00644B0B">
              <w:rPr>
                <w:lang w:val="en-US"/>
              </w:rPr>
              <w:t>135</w:t>
            </w:r>
            <w:r w:rsidR="00644B0B">
              <w:rPr>
                <w:lang w:val="en-US"/>
              </w:rPr>
              <w:t>,00</w:t>
            </w:r>
          </w:p>
        </w:tc>
      </w:tr>
    </w:tbl>
    <w:p w:rsidR="00644B0B" w:rsidRDefault="00644B0B" w:rsidP="000A411B">
      <w:pPr>
        <w:rPr>
          <w:lang w:val="en-US"/>
        </w:rPr>
      </w:pPr>
    </w:p>
    <w:p w:rsidR="003A7D8A" w:rsidRPr="003A7D8A" w:rsidRDefault="003A7D8A" w:rsidP="000A411B">
      <w:r>
        <w:t>Оборудование: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0A411B" w:rsidRPr="000A411B" w:rsidTr="00262AE5">
        <w:trPr>
          <w:trHeight w:val="414"/>
        </w:trPr>
        <w:tc>
          <w:tcPr>
            <w:tcW w:w="4711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712" w:type="dxa"/>
          </w:tcPr>
          <w:p w:rsidR="000A411B" w:rsidRPr="00262AE5" w:rsidRDefault="003A7D8A" w:rsidP="00C34384">
            <w:pPr>
              <w:jc w:val="right"/>
              <w:rPr>
                <w:lang w:val="en-US"/>
              </w:rPr>
            </w:pPr>
            <w:r w:rsidRPr="003A7D8A">
              <w:rPr>
                <w:lang w:val="en-US"/>
              </w:rPr>
              <w:t>479</w:t>
            </w:r>
            <w:r>
              <w:rPr>
                <w:lang w:val="en-US"/>
              </w:rPr>
              <w:t> 369,</w:t>
            </w:r>
            <w:r w:rsidRPr="003A7D8A">
              <w:rPr>
                <w:lang w:val="en-US"/>
              </w:rPr>
              <w:t>92</w:t>
            </w:r>
          </w:p>
        </w:tc>
      </w:tr>
      <w:tr w:rsidR="000A411B" w:rsidRPr="000A411B" w:rsidTr="00262AE5">
        <w:trPr>
          <w:trHeight w:val="399"/>
        </w:trPr>
        <w:tc>
          <w:tcPr>
            <w:tcW w:w="4711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712" w:type="dxa"/>
          </w:tcPr>
          <w:p w:rsidR="000A411B" w:rsidRPr="002D547C" w:rsidRDefault="003A7D8A" w:rsidP="00C34384">
            <w:pPr>
              <w:jc w:val="right"/>
              <w:rPr>
                <w:lang w:val="en-US"/>
              </w:rPr>
            </w:pPr>
            <w:r w:rsidRPr="003A7D8A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3A7D8A">
              <w:rPr>
                <w:lang w:val="en-US"/>
              </w:rPr>
              <w:t>613</w:t>
            </w:r>
            <w:r>
              <w:rPr>
                <w:lang w:val="en-US"/>
              </w:rPr>
              <w:t>,00</w:t>
            </w:r>
          </w:p>
        </w:tc>
      </w:tr>
    </w:tbl>
    <w:p w:rsidR="0083546F" w:rsidRDefault="0083546F" w:rsidP="000A411B"/>
    <w:p w:rsidR="003A7D8A" w:rsidRDefault="003A7D8A" w:rsidP="000A411B">
      <w:r>
        <w:t>Прочее: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3A7D8A" w:rsidRPr="000A411B" w:rsidTr="000C6DAA">
        <w:trPr>
          <w:trHeight w:val="414"/>
        </w:trPr>
        <w:tc>
          <w:tcPr>
            <w:tcW w:w="4711" w:type="dxa"/>
          </w:tcPr>
          <w:p w:rsidR="003A7D8A" w:rsidRPr="003A7D8A" w:rsidRDefault="003A7D8A" w:rsidP="000C6DAA">
            <w:r>
              <w:t>Аренда офиса</w:t>
            </w:r>
          </w:p>
        </w:tc>
        <w:tc>
          <w:tcPr>
            <w:tcW w:w="4712" w:type="dxa"/>
          </w:tcPr>
          <w:p w:rsidR="003A7D8A" w:rsidRPr="003A7D8A" w:rsidRDefault="003A7D8A" w:rsidP="000C6DAA">
            <w:pPr>
              <w:jc w:val="right"/>
            </w:pPr>
            <w:r>
              <w:t>58 000,00</w:t>
            </w:r>
          </w:p>
        </w:tc>
      </w:tr>
      <w:tr w:rsidR="003A7D8A" w:rsidRPr="000A411B" w:rsidTr="000C6DAA">
        <w:trPr>
          <w:trHeight w:val="399"/>
        </w:trPr>
        <w:tc>
          <w:tcPr>
            <w:tcW w:w="4711" w:type="dxa"/>
          </w:tcPr>
          <w:p w:rsidR="003A7D8A" w:rsidRPr="003A7D8A" w:rsidRDefault="003A7D8A" w:rsidP="000C6DAA">
            <w:r>
              <w:t>Канцелярские принадлежности</w:t>
            </w:r>
          </w:p>
        </w:tc>
        <w:tc>
          <w:tcPr>
            <w:tcW w:w="4712" w:type="dxa"/>
          </w:tcPr>
          <w:p w:rsidR="003A7D8A" w:rsidRPr="003A7D8A" w:rsidRDefault="003A7D8A" w:rsidP="003A7D8A">
            <w:pPr>
              <w:jc w:val="right"/>
            </w:pPr>
            <w:r>
              <w:t>4</w:t>
            </w:r>
            <w:r>
              <w:rPr>
                <w:lang w:val="en-US"/>
              </w:rPr>
              <w:t xml:space="preserve"> </w:t>
            </w:r>
            <w:r>
              <w:t>017</w:t>
            </w:r>
            <w:r>
              <w:rPr>
                <w:lang w:val="en-US"/>
              </w:rPr>
              <w:t>,</w:t>
            </w:r>
            <w:r>
              <w:t>5</w:t>
            </w:r>
            <w:r>
              <w:rPr>
                <w:lang w:val="en-US"/>
              </w:rPr>
              <w:t>0</w:t>
            </w:r>
          </w:p>
        </w:tc>
      </w:tr>
      <w:tr w:rsidR="003A7D8A" w:rsidRPr="000A411B" w:rsidTr="000C6DAA">
        <w:trPr>
          <w:trHeight w:val="399"/>
        </w:trPr>
        <w:tc>
          <w:tcPr>
            <w:tcW w:w="4711" w:type="dxa"/>
          </w:tcPr>
          <w:p w:rsidR="003A7D8A" w:rsidRDefault="00471BFC" w:rsidP="000C6DAA">
            <w:r>
              <w:t>Рабочие столы</w:t>
            </w:r>
          </w:p>
        </w:tc>
        <w:tc>
          <w:tcPr>
            <w:tcW w:w="4712" w:type="dxa"/>
          </w:tcPr>
          <w:p w:rsidR="003A7D8A" w:rsidRDefault="00471BFC" w:rsidP="003A7D8A">
            <w:pPr>
              <w:jc w:val="right"/>
            </w:pPr>
            <w:r>
              <w:t>24 280,00</w:t>
            </w:r>
          </w:p>
        </w:tc>
      </w:tr>
      <w:tr w:rsidR="00471BFC" w:rsidRPr="000A411B" w:rsidTr="000C6DAA">
        <w:trPr>
          <w:trHeight w:val="399"/>
        </w:trPr>
        <w:tc>
          <w:tcPr>
            <w:tcW w:w="4711" w:type="dxa"/>
          </w:tcPr>
          <w:p w:rsidR="00471BFC" w:rsidRDefault="00471BFC" w:rsidP="000C6DAA">
            <w:r>
              <w:t>Заработная плата</w:t>
            </w:r>
          </w:p>
        </w:tc>
        <w:tc>
          <w:tcPr>
            <w:tcW w:w="4712" w:type="dxa"/>
          </w:tcPr>
          <w:p w:rsidR="00471BFC" w:rsidRDefault="00471BFC" w:rsidP="003A7D8A">
            <w:pPr>
              <w:jc w:val="right"/>
            </w:pPr>
            <w:r>
              <w:t>1 000 000,00</w:t>
            </w:r>
          </w:p>
        </w:tc>
      </w:tr>
    </w:tbl>
    <w:p w:rsidR="003A7D8A" w:rsidRDefault="003A7D8A" w:rsidP="000A411B"/>
    <w:p w:rsidR="000A411B" w:rsidRDefault="0083546F" w:rsidP="000A411B">
      <w:r>
        <w:t>В свою очередь на сторону заказчика требуется установить серверное оборудование, способное поддерживать систему в надёжном работоспособном состоянии.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4733"/>
        <w:gridCol w:w="4734"/>
      </w:tblGrid>
      <w:tr w:rsidR="0083546F" w:rsidTr="00A35F2F">
        <w:trPr>
          <w:trHeight w:val="434"/>
        </w:trPr>
        <w:tc>
          <w:tcPr>
            <w:tcW w:w="4733" w:type="dxa"/>
          </w:tcPr>
          <w:p w:rsidR="0083546F" w:rsidRPr="0083546F" w:rsidRDefault="0083546F" w:rsidP="006773DC">
            <w:pPr>
              <w:rPr>
                <w:lang w:val="en-US"/>
              </w:rPr>
            </w:pPr>
            <w:r w:rsidRPr="0083546F">
              <w:rPr>
                <w:lang w:val="en-US"/>
              </w:rPr>
              <w:t>Dell PowerEdge</w:t>
            </w:r>
            <w:r>
              <w:t xml:space="preserve"> </w:t>
            </w:r>
            <w:r>
              <w:rPr>
                <w:lang w:val="en-US"/>
              </w:rPr>
              <w:t>R330</w:t>
            </w:r>
          </w:p>
        </w:tc>
        <w:tc>
          <w:tcPr>
            <w:tcW w:w="4734" w:type="dxa"/>
          </w:tcPr>
          <w:p w:rsidR="0083546F" w:rsidRPr="003A7D8A" w:rsidRDefault="003A7D8A" w:rsidP="003A7D8A">
            <w:pPr>
              <w:jc w:val="right"/>
            </w:pPr>
            <w:r>
              <w:t>212</w:t>
            </w:r>
            <w:r>
              <w:rPr>
                <w:lang w:val="en-US"/>
              </w:rPr>
              <w:t> </w:t>
            </w:r>
            <w:r>
              <w:t>716</w:t>
            </w:r>
            <w:r>
              <w:rPr>
                <w:lang w:val="en-US"/>
              </w:rPr>
              <w:t>,</w:t>
            </w:r>
            <w:r>
              <w:t>70</w:t>
            </w:r>
          </w:p>
        </w:tc>
      </w:tr>
      <w:tr w:rsidR="0083546F" w:rsidRPr="00836796" w:rsidTr="00A35F2F">
        <w:trPr>
          <w:trHeight w:val="434"/>
        </w:trPr>
        <w:tc>
          <w:tcPr>
            <w:tcW w:w="4733" w:type="dxa"/>
          </w:tcPr>
          <w:p w:rsidR="0083546F" w:rsidRPr="000A411B" w:rsidRDefault="0083546F" w:rsidP="006773DC">
            <w:pPr>
              <w:rPr>
                <w:lang w:val="en-US"/>
              </w:rPr>
            </w:pPr>
            <w:r>
              <w:rPr>
                <w:lang w:val="en-US"/>
              </w:rPr>
              <w:t xml:space="preserve">PowerEdge RAM </w:t>
            </w:r>
            <w:r w:rsidRPr="0083546F">
              <w:rPr>
                <w:lang w:val="en-US"/>
              </w:rPr>
              <w:t>667MHz DDR2 FBDIMM</w:t>
            </w:r>
          </w:p>
        </w:tc>
        <w:tc>
          <w:tcPr>
            <w:tcW w:w="4734" w:type="dxa"/>
          </w:tcPr>
          <w:p w:rsidR="0083546F" w:rsidRPr="003A7D8A" w:rsidRDefault="003A7D8A" w:rsidP="0083546F">
            <w:pPr>
              <w:jc w:val="right"/>
            </w:pPr>
            <w:r>
              <w:t>68 806,00</w:t>
            </w:r>
          </w:p>
        </w:tc>
      </w:tr>
    </w:tbl>
    <w:p w:rsidR="0083546F" w:rsidRDefault="008530D9" w:rsidP="000A411B">
      <w:r>
        <w:t xml:space="preserve">Итого: </w:t>
      </w:r>
      <w:r w:rsidRPr="008530D9">
        <w:t>2</w:t>
      </w:r>
      <w:r>
        <w:t xml:space="preserve"> </w:t>
      </w:r>
      <w:r w:rsidRPr="008530D9">
        <w:t>068</w:t>
      </w:r>
      <w:r>
        <w:t xml:space="preserve"> </w:t>
      </w:r>
      <w:r w:rsidRPr="008530D9">
        <w:t>270,12</w:t>
      </w:r>
      <w:r>
        <w:t xml:space="preserve"> рублей.</w:t>
      </w:r>
    </w:p>
    <w:p w:rsidR="008530D9" w:rsidRPr="008530D9" w:rsidRDefault="008530D9" w:rsidP="000A411B"/>
    <w:p w:rsidR="002C7FB1" w:rsidRDefault="009C4ECC" w:rsidP="00A709EE">
      <w:pPr>
        <w:pStyle w:val="Heading2"/>
      </w:pPr>
      <w:bookmarkStart w:id="10" w:name="_Toc413347592"/>
      <w:r>
        <w:lastRenderedPageBreak/>
        <w:t>План-график проекта</w:t>
      </w:r>
      <w:bookmarkEnd w:id="10"/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836796" w:rsidP="004D21D1">
      <w:r>
        <w:t>Ожидаемая протяжённость проекта по времени – пять месяцев.</w:t>
      </w:r>
    </w:p>
    <w:p w:rsidR="00836796" w:rsidRPr="00836796" w:rsidRDefault="00836796" w:rsidP="004D21D1">
      <w:r>
        <w:t>На представленном ниже графике по горизонтальной оси отображены вехи проекта, по вертикальной оси указаны временные рамки. Вертикальные линии над вехами соответственно показывают протяжённость вехи по времени.</w:t>
      </w:r>
    </w:p>
    <w:p w:rsidR="006A1540" w:rsidRDefault="006A1540" w:rsidP="004D21D1"/>
    <w:p w:rsidR="00644B0B" w:rsidRDefault="00644B0B" w:rsidP="004D21D1">
      <w:r>
        <w:rPr>
          <w:noProof/>
          <w:lang w:val="en-US" w:eastAsia="en-US"/>
        </w:rPr>
        <w:drawing>
          <wp:inline distT="0" distB="0" distL="0" distR="0">
            <wp:extent cx="5200650" cy="2981325"/>
            <wp:effectExtent l="0" t="0" r="1905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C2BF8" w:rsidRDefault="008C2BF8" w:rsidP="004D21D1"/>
    <w:p w:rsidR="008C2BF8" w:rsidRDefault="008C2BF8" w:rsidP="004D21D1">
      <w:r>
        <w:t>В табличном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3"/>
        <w:gridCol w:w="1225"/>
        <w:gridCol w:w="1225"/>
      </w:tblGrid>
      <w:tr w:rsidR="00836796" w:rsidTr="00836796">
        <w:trPr>
          <w:trHeight w:val="294"/>
        </w:trPr>
        <w:tc>
          <w:tcPr>
            <w:tcW w:w="1473" w:type="dxa"/>
          </w:tcPr>
          <w:p w:rsidR="00836796" w:rsidRP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Веха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Старт</w:t>
            </w:r>
            <w:proofErr w:type="spellEnd"/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А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15.09.16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30.09.16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Б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01.10.16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15.10.16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В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16.10.16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31.10.16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Г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01.11.16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07.11.16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Д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07.11.16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14.11.16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Е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14.11.16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28.11.16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Ё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28.11.16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04.12.16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Ж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04.12.16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18.12.16</w:t>
            </w:r>
          </w:p>
        </w:tc>
      </w:tr>
      <w:tr w:rsidR="00836796" w:rsidTr="00836796">
        <w:trPr>
          <w:trHeight w:val="294"/>
        </w:trPr>
        <w:tc>
          <w:tcPr>
            <w:tcW w:w="1473" w:type="dxa"/>
          </w:tcPr>
          <w:p w:rsidR="00836796" w:rsidRDefault="0083679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З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18.12.16</w:t>
            </w:r>
          </w:p>
        </w:tc>
        <w:tc>
          <w:tcPr>
            <w:tcW w:w="1225" w:type="dxa"/>
          </w:tcPr>
          <w:p w:rsidR="00836796" w:rsidRDefault="00836796" w:rsidP="0083679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19.12.16</w:t>
            </w:r>
          </w:p>
        </w:tc>
      </w:tr>
    </w:tbl>
    <w:p w:rsidR="00836796" w:rsidRPr="005C3060" w:rsidRDefault="00836796" w:rsidP="004D21D1"/>
    <w:p w:rsidR="002C7FB1" w:rsidRDefault="00D02B36" w:rsidP="00A709EE">
      <w:pPr>
        <w:pStyle w:val="Heading1"/>
      </w:pPr>
      <w:bookmarkStart w:id="11" w:name="_Toc413347593"/>
      <w:r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1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</w:t>
      </w:r>
      <w:r w:rsidRPr="00494F90">
        <w:rPr>
          <w:color w:val="0000FF"/>
        </w:rPr>
        <w:lastRenderedPageBreak/>
        <w:t xml:space="preserve">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Heading2"/>
        <w:rPr>
          <w:lang w:val="en-US"/>
        </w:rPr>
      </w:pPr>
      <w:bookmarkStart w:id="12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2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ListParagraph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ListParagraph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ListParagraph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ListParagraph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ListParagraph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ListParagraph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ListParagraph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Heading2"/>
      </w:pPr>
      <w:bookmarkStart w:id="13" w:name="_Toc413347595"/>
      <w:r>
        <w:t>Структура команды</w:t>
      </w:r>
      <w:bookmarkEnd w:id="13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>Руководитель проекта - Метелёв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lastRenderedPageBreak/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</w:p>
    <w:p w:rsidR="00803946" w:rsidRDefault="00803946" w:rsidP="003067D2">
      <w:r>
        <w:t>Мобильный разработчик - Карчков Денис</w:t>
      </w:r>
    </w:p>
    <w:p w:rsidR="00803946" w:rsidRDefault="00803946" w:rsidP="003067D2">
      <w:r>
        <w:t>Дизайнер - Метелёв Евгений</w:t>
      </w:r>
    </w:p>
    <w:p w:rsidR="00803946" w:rsidRDefault="00803946" w:rsidP="003067D2">
      <w:r>
        <w:t>Системный администратор - Карчков Денис</w:t>
      </w:r>
    </w:p>
    <w:p w:rsidR="00883E12" w:rsidRPr="00803946" w:rsidRDefault="00883E12" w:rsidP="003067D2">
      <w:r>
        <w:t>Тестировщики: Метелёв Евгений, Сахаров Алексей, Дружин Игорь</w:t>
      </w:r>
    </w:p>
    <w:p w:rsidR="002C7FB1" w:rsidRDefault="00D02B36" w:rsidP="00A709EE">
      <w:pPr>
        <w:pStyle w:val="Heading1"/>
      </w:pPr>
      <w:bookmarkStart w:id="14" w:name="_Toc413347596"/>
      <w:r>
        <w:t>Протоколы проекта</w:t>
      </w:r>
      <w:bookmarkEnd w:id="14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Heading2"/>
      </w:pPr>
      <w:bookmarkStart w:id="15" w:name="_Toc413347597"/>
      <w:r>
        <w:t>Управление конфигурацией</w:t>
      </w:r>
      <w:bookmarkEnd w:id="15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0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 xml:space="preserve">описание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описание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роли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выбор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69139A" w:rsidRDefault="0069139A" w:rsidP="0004791F">
      <w:r>
        <w:t>Участники команды работают на дому.</w:t>
      </w:r>
    </w:p>
    <w:p w:rsidR="00393D6B" w:rsidRDefault="00393D6B" w:rsidP="0004791F">
      <w:r>
        <w:t xml:space="preserve">Для обсуждения текущего прогресса и </w:t>
      </w:r>
      <w:r w:rsidR="001850A9">
        <w:t>дальнейших действий, а так же внесения изменений в проект, каждую неделю проводится личная встреча участников групп</w:t>
      </w:r>
      <w:r w:rsidR="00B12914">
        <w:t>ы и заказчика в заранее оговоренной аудитории ННГУ им. Лобачевского.</w:t>
      </w:r>
    </w:p>
    <w:p w:rsidR="001850A9" w:rsidRDefault="001850A9" w:rsidP="0004791F">
      <w:r>
        <w:t>Помимо личной встречи</w:t>
      </w:r>
      <w:r w:rsidR="0010049A" w:rsidRPr="0010049A">
        <w:t>,</w:t>
      </w:r>
      <w:r>
        <w:t xml:space="preserve"> для взаимодействия между членами команды используется электронная почта и социальная сеть </w:t>
      </w:r>
      <w:r w:rsidRPr="001850A9">
        <w:t>“</w:t>
      </w:r>
      <w:r>
        <w:t>Вконтакте</w:t>
      </w:r>
      <w:r w:rsidRPr="001850A9">
        <w:t xml:space="preserve">”. </w:t>
      </w:r>
      <w:r>
        <w:t xml:space="preserve">Для предоставления текущей проектной документации заказчику, а так же обсуждения деталей и вопросов по проекту с ним, используется </w:t>
      </w:r>
      <w:r w:rsidR="004D0853">
        <w:t xml:space="preserve">веб-приложение для управления проектами </w:t>
      </w:r>
      <w:r w:rsidRPr="001850A9">
        <w:t>“</w:t>
      </w:r>
      <w:proofErr w:type="spellStart"/>
      <w:r>
        <w:rPr>
          <w:lang w:val="en-US"/>
        </w:rPr>
        <w:t>Redmine</w:t>
      </w:r>
      <w:proofErr w:type="spellEnd"/>
      <w:r w:rsidRPr="001850A9">
        <w:t>”.</w:t>
      </w:r>
    </w:p>
    <w:p w:rsidR="000B05A9" w:rsidRPr="000B05A9" w:rsidRDefault="000B05A9" w:rsidP="0004791F">
      <w:r>
        <w:t xml:space="preserve">Для определения текущих и выполненных задач внутри команды, используется веб-приложение для управления проектами </w:t>
      </w:r>
      <w:r w:rsidRPr="000B05A9">
        <w:t>“</w:t>
      </w:r>
      <w:r>
        <w:rPr>
          <w:lang w:val="en-US"/>
        </w:rPr>
        <w:t>Trello</w:t>
      </w:r>
      <w:r w:rsidRPr="000B05A9">
        <w:t>”.</w:t>
      </w:r>
    </w:p>
    <w:p w:rsidR="004D0853" w:rsidRPr="004D0853" w:rsidRDefault="004D0853" w:rsidP="0004791F">
      <w:r>
        <w:t>Для хранения проектной документации и</w:t>
      </w:r>
      <w:r w:rsidR="00C743E1">
        <w:t xml:space="preserve"> исходного кода внутри команды, </w:t>
      </w:r>
      <w:r>
        <w:t>используется</w:t>
      </w:r>
      <w:r w:rsidR="0008652E" w:rsidRPr="0008652E">
        <w:t xml:space="preserve"> </w:t>
      </w:r>
      <w:r w:rsidR="0008652E">
        <w:t>распределенная</w:t>
      </w:r>
      <w:r>
        <w:t xml:space="preserve"> система контроля версий </w:t>
      </w:r>
      <w:r w:rsidRPr="004D0853">
        <w:t>“</w:t>
      </w:r>
      <w:proofErr w:type="spellStart"/>
      <w:r>
        <w:rPr>
          <w:lang w:val="en-US"/>
        </w:rPr>
        <w:t>Git</w:t>
      </w:r>
      <w:proofErr w:type="spellEnd"/>
      <w:r w:rsidRPr="004D0853">
        <w:t>”.</w:t>
      </w:r>
    </w:p>
    <w:p w:rsidR="002C7FB1" w:rsidRDefault="00D02B36" w:rsidP="00A709EE">
      <w:pPr>
        <w:pStyle w:val="Heading2"/>
      </w:pPr>
      <w:bookmarkStart w:id="16" w:name="_Toc413347598"/>
      <w:r>
        <w:lastRenderedPageBreak/>
        <w:t>Управление изменениями</w:t>
      </w:r>
      <w:bookmarkEnd w:id="16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0"/>
          <w:color w:val="0000FF"/>
        </w:rPr>
        <w:t>рамками решения</w:t>
      </w:r>
      <w:r w:rsidR="00D96AB4" w:rsidRPr="00D96AB4">
        <w:rPr>
          <w:color w:val="0000FF"/>
        </w:rPr>
        <w:t xml:space="preserve"> и </w:t>
      </w:r>
      <w:r w:rsidR="00D96AB4" w:rsidRPr="00D96AB4">
        <w:rPr>
          <w:rStyle w:val="a0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процесс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форма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роли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Default="00F113CC" w:rsidP="00593CC7">
      <w:r>
        <w:t xml:space="preserve">Заказчик может подать предложение на изменение </w:t>
      </w:r>
      <w:r w:rsidR="00CE254E">
        <w:t>или реализацию новых функций во время проведения организационной встречи с ним.</w:t>
      </w:r>
      <w:r w:rsidR="00AD031E">
        <w:t xml:space="preserve"> Запрос подается в письменной форме</w:t>
      </w:r>
      <w:r w:rsidR="002A0896">
        <w:t xml:space="preserve"> и представляет собой бланк с описанием требуемого изменения или нововведения.  При одобрении запроса все члены команды должны поставить свои подписи на бла</w:t>
      </w:r>
      <w:r w:rsidR="008F4FD5">
        <w:t>нке.</w:t>
      </w:r>
      <w:r w:rsidR="00CE254E">
        <w:t xml:space="preserve"> В такой ситуации мы примем во внимание пожелания заказчика и </w:t>
      </w:r>
      <w:r w:rsidR="006B0700">
        <w:t>скорректируем</w:t>
      </w:r>
      <w:r w:rsidR="00CE254E">
        <w:t xml:space="preserve">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D504D9" w:rsidRDefault="00D504D9" w:rsidP="00593CC7">
      <w:r>
        <w:t>Шаблон бланка: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Ф.И.О. заказчика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Наименование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Описание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Сроки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Указание выделяемых материальных средств на обеспечение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Подпись заказчика</w:t>
      </w:r>
    </w:p>
    <w:p w:rsidR="00D504D9" w:rsidRDefault="00D504D9" w:rsidP="00D504D9">
      <w:pPr>
        <w:pStyle w:val="ListParagraph"/>
        <w:numPr>
          <w:ilvl w:val="0"/>
          <w:numId w:val="33"/>
        </w:numPr>
      </w:pPr>
      <w:r>
        <w:t>Подписи участников команды</w:t>
      </w:r>
    </w:p>
    <w:p w:rsidR="002C7FB1" w:rsidRPr="004E6B6E" w:rsidRDefault="00D02B36" w:rsidP="00A709EE">
      <w:pPr>
        <w:pStyle w:val="Heading2"/>
      </w:pPr>
      <w:bookmarkStart w:id="17" w:name="_Toc413347599"/>
      <w:r>
        <w:t>Управление</w:t>
      </w:r>
      <w:r w:rsidRPr="004E6B6E">
        <w:t xml:space="preserve"> </w:t>
      </w:r>
      <w:r>
        <w:t>внедрениями</w:t>
      </w:r>
      <w:bookmarkEnd w:id="17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0175EC" w:rsidRDefault="000175EC" w:rsidP="00593CC7">
      <w:r>
        <w:t>Для водителей:</w:t>
      </w:r>
    </w:p>
    <w:p w:rsidR="00652C89" w:rsidRDefault="00652C89" w:rsidP="00593CC7">
      <w:r>
        <w:t>Водители должны быть обеспечены план</w:t>
      </w:r>
      <w:r w:rsidR="000175EC">
        <w:t>шетами с доступом в интернет. На каждый планшет устанавливается мобильное приложение для водителей</w:t>
      </w:r>
      <w:r w:rsidR="00FB05E8">
        <w:t xml:space="preserve">. </w:t>
      </w:r>
      <w:r w:rsidR="000175EC">
        <w:t xml:space="preserve">Планируется </w:t>
      </w:r>
      <w:r w:rsidR="000175EC">
        <w:lastRenderedPageBreak/>
        <w:t>организационное мероприятие, в ходе которого будут рассказаны все преимущества работы с данным продуктом и предоставлена подробная инструкция по эксплуатации.</w:t>
      </w:r>
    </w:p>
    <w:p w:rsidR="000175EC" w:rsidRDefault="000175EC" w:rsidP="00593CC7">
      <w:r>
        <w:t>Для клиентов:</w:t>
      </w:r>
    </w:p>
    <w:p w:rsidR="000175EC" w:rsidRDefault="007454D0" w:rsidP="00593CC7">
      <w:r>
        <w:t xml:space="preserve">Клиент должен иметь ПК, планшет или телефон с доступом в интернет. </w:t>
      </w:r>
      <w:r w:rsidR="000175EC">
        <w:t>Будет создан сайт</w:t>
      </w:r>
      <w:r>
        <w:t>,</w:t>
      </w:r>
      <w:r w:rsidR="000175EC">
        <w:t xml:space="preserve"> с которого можно либо осуществить заказ такси посредством веб-приложения либо скачать </w:t>
      </w:r>
      <w:r>
        <w:t>мобильную или десктопную версию приложения</w:t>
      </w:r>
      <w:r w:rsidR="00572B19">
        <w:t xml:space="preserve"> для клиентов</w:t>
      </w:r>
      <w:r>
        <w:t>.</w:t>
      </w:r>
      <w:r w:rsidR="00FB05E8">
        <w:t xml:space="preserve"> На сайте </w:t>
      </w:r>
      <w:r w:rsidR="00006E90">
        <w:t>будет инструкция по использованию данного сервиса.</w:t>
      </w:r>
    </w:p>
    <w:p w:rsidR="002C7FB1" w:rsidRPr="00D02B36" w:rsidRDefault="00AE1BC5" w:rsidP="00A709EE">
      <w:pPr>
        <w:pStyle w:val="Heading2"/>
        <w:rPr>
          <w:lang w:val="en-US"/>
        </w:rPr>
      </w:pPr>
      <w:bookmarkStart w:id="18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8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ожидания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 xml:space="preserve">роли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D32E46" w:rsidRDefault="009C7CE2" w:rsidP="00593CC7">
      <w:r>
        <w:t>Для обеспечения</w:t>
      </w:r>
      <w:r w:rsidR="00EF0B79">
        <w:t xml:space="preserve"> наилучшего</w:t>
      </w:r>
      <w:r>
        <w:t xml:space="preserve"> качества было</w:t>
      </w:r>
      <w:r w:rsidR="00EF0B79">
        <w:t xml:space="preserve"> ре</w:t>
      </w:r>
      <w:r w:rsidR="003227C0">
        <w:t xml:space="preserve">шено придерживаться методологии </w:t>
      </w:r>
      <w:r w:rsidR="003227C0">
        <w:rPr>
          <w:lang w:val="en-US"/>
        </w:rPr>
        <w:t>Kanban</w:t>
      </w:r>
      <w:r w:rsidR="001E5CB0">
        <w:t>,</w:t>
      </w:r>
      <w:r w:rsidR="00EF0B79">
        <w:t xml:space="preserve"> использовать пат</w:t>
      </w:r>
      <w:r w:rsidR="00107624">
        <w:t>т</w:t>
      </w:r>
      <w:r w:rsidR="00EF0B79">
        <w:t xml:space="preserve">ерн </w:t>
      </w:r>
      <w:r w:rsidR="00EF0B79">
        <w:rPr>
          <w:lang w:val="en-US"/>
        </w:rPr>
        <w:t>Model</w:t>
      </w:r>
      <w:r w:rsidR="00EF0B79" w:rsidRPr="00EF0B79">
        <w:t>-</w:t>
      </w:r>
      <w:r w:rsidR="00EF0B79">
        <w:rPr>
          <w:lang w:val="en-US"/>
        </w:rPr>
        <w:t>View</w:t>
      </w:r>
      <w:r w:rsidR="00EF0B79" w:rsidRPr="00EF0B79">
        <w:t>-</w:t>
      </w:r>
      <w:r w:rsidR="00EF0B79">
        <w:rPr>
          <w:lang w:val="en-US"/>
        </w:rPr>
        <w:t>Controller</w:t>
      </w:r>
      <w:r w:rsidR="001E5CB0">
        <w:t xml:space="preserve"> и архитектурный стиль клиент-сервер.</w:t>
      </w:r>
      <w:r>
        <w:t xml:space="preserve"> 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 xml:space="preserve">Для </w:t>
      </w:r>
      <w:r w:rsidR="00E52B23">
        <w:t>проверки</w:t>
      </w:r>
      <w:r w:rsidR="009A1D5E">
        <w:t xml:space="preserve"> качества используется подход тестирования программного обеспечения. Для проверки правильности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>нагрузочное и стресс-тестирование. Юзабилити-тестирование для определения приемлемости графического интерфейса</w:t>
      </w:r>
      <w:r w:rsidR="00780BDA">
        <w:t>.</w:t>
      </w:r>
    </w:p>
    <w:p w:rsidR="002C7FB1" w:rsidRDefault="00D02B36" w:rsidP="00A709EE">
      <w:pPr>
        <w:pStyle w:val="Heading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8152BC" w:rsidP="00593CC7">
      <w:r>
        <w:t>Предоставление аудитории один ра</w:t>
      </w:r>
      <w:r w:rsidR="00100897">
        <w:t>з в неделю для встречи команды</w:t>
      </w:r>
      <w:r>
        <w:t xml:space="preserve"> с заказчиком.</w:t>
      </w:r>
    </w:p>
    <w:p w:rsidR="0075400A" w:rsidRDefault="0075400A" w:rsidP="00593CC7">
      <w:r>
        <w:t>Оборудование: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6773DC">
        <w:tc>
          <w:tcPr>
            <w:tcW w:w="4643" w:type="dxa"/>
          </w:tcPr>
          <w:p w:rsidR="0075400A" w:rsidRPr="0075400A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</w:p>
        </w:tc>
      </w:tr>
      <w:tr w:rsidR="0075400A" w:rsidRPr="00393D6B" w:rsidTr="006773DC">
        <w:tc>
          <w:tcPr>
            <w:tcW w:w="4643" w:type="dxa"/>
          </w:tcPr>
          <w:p w:rsidR="004859E5" w:rsidRPr="0075400A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Logitech MX Master Mouse   </w:t>
            </w:r>
          </w:p>
        </w:tc>
      </w:tr>
    </w:tbl>
    <w:p w:rsidR="00100897" w:rsidRDefault="00100897" w:rsidP="00593CC7">
      <w:r>
        <w:t>Инструменты:</w:t>
      </w:r>
    </w:p>
    <w:p w:rsidR="00100897" w:rsidRPr="00100897" w:rsidRDefault="00100897" w:rsidP="00100897">
      <w:r>
        <w:t xml:space="preserve">Веб-приложения для управления проектами: </w:t>
      </w:r>
      <w:r>
        <w:rPr>
          <w:lang w:val="en-US"/>
        </w:rPr>
        <w:t>Trello</w:t>
      </w:r>
      <w:r w:rsidRPr="00100897">
        <w:t xml:space="preserve">, </w:t>
      </w:r>
      <w:proofErr w:type="spellStart"/>
      <w:r>
        <w:rPr>
          <w:lang w:val="en-US"/>
        </w:rPr>
        <w:t>Redmine</w:t>
      </w:r>
      <w:proofErr w:type="spellEnd"/>
    </w:p>
    <w:p w:rsidR="00100897" w:rsidRPr="00393D6B" w:rsidRDefault="00100897" w:rsidP="00100897"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</w:p>
    <w:p w:rsidR="00100897" w:rsidRPr="00107624" w:rsidRDefault="00100897" w:rsidP="00593CC7">
      <w:r>
        <w:t>Среда</w:t>
      </w:r>
      <w:r w:rsidRPr="00107624">
        <w:t xml:space="preserve"> </w:t>
      </w:r>
      <w:r>
        <w:t>разработки</w:t>
      </w:r>
      <w:r w:rsidRPr="00107624">
        <w:t xml:space="preserve"> - </w:t>
      </w:r>
      <w:r>
        <w:rPr>
          <w:lang w:val="en-US"/>
        </w:rPr>
        <w:t>Microsoft</w:t>
      </w:r>
      <w:r w:rsidRPr="00107624">
        <w:t xml:space="preserve"> </w:t>
      </w:r>
      <w:r>
        <w:rPr>
          <w:lang w:val="en-US"/>
        </w:rPr>
        <w:t>Visual</w:t>
      </w:r>
      <w:r w:rsidRPr="00107624">
        <w:t xml:space="preserve"> </w:t>
      </w:r>
      <w:r>
        <w:rPr>
          <w:lang w:val="en-US"/>
        </w:rPr>
        <w:t>S</w:t>
      </w:r>
      <w:r w:rsidRPr="004859E5">
        <w:rPr>
          <w:lang w:val="en-US"/>
        </w:rPr>
        <w:t>tudio</w:t>
      </w:r>
      <w:r w:rsidRPr="00107624">
        <w:t xml:space="preserve">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2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57" w:rsidRDefault="00581157">
      <w:r>
        <w:separator/>
      </w:r>
    </w:p>
  </w:endnote>
  <w:endnote w:type="continuationSeparator" w:id="0">
    <w:p w:rsidR="00581157" w:rsidRDefault="0058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38" w:rsidRDefault="00932238">
    <w:pPr>
      <w:pStyle w:val="Footer"/>
      <w:jc w:val="right"/>
    </w:pPr>
  </w:p>
  <w:p w:rsidR="00932238" w:rsidRDefault="00932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57" w:rsidRDefault="00581157">
      <w:r>
        <w:separator/>
      </w:r>
    </w:p>
  </w:footnote>
  <w:footnote w:type="continuationSeparator" w:id="0">
    <w:p w:rsidR="00581157" w:rsidRDefault="00581157">
      <w:r>
        <w:continuationSeparator/>
      </w:r>
    </w:p>
  </w:footnote>
  <w:footnote w:id="1">
    <w:p w:rsidR="00AF37E8" w:rsidRPr="00AF37E8" w:rsidRDefault="00AF37E8">
      <w:pPr>
        <w:pStyle w:val="FootnoteText"/>
        <w:rPr>
          <w:lang w:val="en-US"/>
        </w:rPr>
      </w:pPr>
      <w:r w:rsidRPr="00AF37E8">
        <w:rPr>
          <w:rStyle w:val="FootnoteReference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>) “MSF Process Model”, “</w:t>
      </w:r>
      <w:r w:rsidRPr="00CC1E3D">
        <w:rPr>
          <w:sz w:val="16"/>
        </w:rPr>
        <w:t>MSF Risk Management Discipline</w:t>
      </w:r>
      <w:r>
        <w:rPr>
          <w:sz w:val="16"/>
        </w:rPr>
        <w:t>”, “</w:t>
      </w:r>
      <w:r w:rsidRPr="00CC1E3D">
        <w:rPr>
          <w:sz w:val="16"/>
        </w:rPr>
        <w:t>MSF Team Model</w:t>
      </w:r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Hyperlink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eLine Software</w:t>
      </w:r>
      <w:r>
        <w:rPr>
          <w:sz w:val="16"/>
        </w:rPr>
        <w:t xml:space="preserve"> (</w:t>
      </w:r>
      <w:hyperlink r:id="rId2" w:history="1">
        <w:r w:rsidRPr="00932852">
          <w:rPr>
            <w:rStyle w:val="Hyperlink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FootnoteText"/>
      </w:pPr>
      <w:r>
        <w:rPr>
          <w:rStyle w:val="FootnoteReference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eLine Software</w:t>
      </w:r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91572A"/>
    <w:multiLevelType w:val="hybridMultilevel"/>
    <w:tmpl w:val="4EFE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A37307"/>
    <w:multiLevelType w:val="multilevel"/>
    <w:tmpl w:val="DE4A7A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9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1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4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6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6B5613"/>
    <w:multiLevelType w:val="hybridMultilevel"/>
    <w:tmpl w:val="DCAE99C0"/>
    <w:lvl w:ilvl="0" w:tplc="766EED14">
      <w:start w:val="1"/>
      <w:numFmt w:val="decimal"/>
      <w:pStyle w:val="Caption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11"/>
  </w:num>
  <w:num w:numId="8">
    <w:abstractNumId w:val="21"/>
  </w:num>
  <w:num w:numId="9">
    <w:abstractNumId w:val="22"/>
  </w:num>
  <w:num w:numId="10">
    <w:abstractNumId w:val="4"/>
  </w:num>
  <w:num w:numId="11">
    <w:abstractNumId w:val="18"/>
  </w:num>
  <w:num w:numId="12">
    <w:abstractNumId w:val="13"/>
  </w:num>
  <w:num w:numId="13">
    <w:abstractNumId w:val="23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5"/>
  </w:num>
  <w:num w:numId="19">
    <w:abstractNumId w:val="30"/>
  </w:num>
  <w:num w:numId="20">
    <w:abstractNumId w:val="3"/>
  </w:num>
  <w:num w:numId="21">
    <w:abstractNumId w:val="1"/>
  </w:num>
  <w:num w:numId="22">
    <w:abstractNumId w:val="27"/>
  </w:num>
  <w:num w:numId="23">
    <w:abstractNumId w:val="15"/>
  </w:num>
  <w:num w:numId="24">
    <w:abstractNumId w:val="28"/>
  </w:num>
  <w:num w:numId="25">
    <w:abstractNumId w:val="10"/>
  </w:num>
  <w:num w:numId="26">
    <w:abstractNumId w:val="0"/>
  </w:num>
  <w:num w:numId="27">
    <w:abstractNumId w:val="26"/>
  </w:num>
  <w:num w:numId="28">
    <w:abstractNumId w:val="12"/>
  </w:num>
  <w:num w:numId="29">
    <w:abstractNumId w:val="29"/>
  </w:num>
  <w:num w:numId="30">
    <w:abstractNumId w:val="32"/>
  </w:num>
  <w:num w:numId="31">
    <w:abstractNumId w:val="7"/>
  </w:num>
  <w:num w:numId="32">
    <w:abstractNumId w:val="1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B1"/>
    <w:rsid w:val="00006E90"/>
    <w:rsid w:val="00011D4E"/>
    <w:rsid w:val="000160F2"/>
    <w:rsid w:val="000175EC"/>
    <w:rsid w:val="00020363"/>
    <w:rsid w:val="00032EE0"/>
    <w:rsid w:val="00037037"/>
    <w:rsid w:val="00041291"/>
    <w:rsid w:val="0004791F"/>
    <w:rsid w:val="00047B83"/>
    <w:rsid w:val="000515F6"/>
    <w:rsid w:val="00067EB5"/>
    <w:rsid w:val="000801E1"/>
    <w:rsid w:val="0008050E"/>
    <w:rsid w:val="0008652E"/>
    <w:rsid w:val="000A411B"/>
    <w:rsid w:val="000B05A9"/>
    <w:rsid w:val="000E5093"/>
    <w:rsid w:val="0010049A"/>
    <w:rsid w:val="00100897"/>
    <w:rsid w:val="00103BFB"/>
    <w:rsid w:val="00107624"/>
    <w:rsid w:val="00110B75"/>
    <w:rsid w:val="00126807"/>
    <w:rsid w:val="00130DC0"/>
    <w:rsid w:val="0017151F"/>
    <w:rsid w:val="0017488C"/>
    <w:rsid w:val="00182F8E"/>
    <w:rsid w:val="001850A9"/>
    <w:rsid w:val="00190F05"/>
    <w:rsid w:val="00193368"/>
    <w:rsid w:val="001A4AAF"/>
    <w:rsid w:val="001D1444"/>
    <w:rsid w:val="001E5CB0"/>
    <w:rsid w:val="001F104E"/>
    <w:rsid w:val="001F2250"/>
    <w:rsid w:val="0021604C"/>
    <w:rsid w:val="002207F9"/>
    <w:rsid w:val="0024216A"/>
    <w:rsid w:val="00262AE5"/>
    <w:rsid w:val="00275F30"/>
    <w:rsid w:val="002A0896"/>
    <w:rsid w:val="002A0BCB"/>
    <w:rsid w:val="002B2702"/>
    <w:rsid w:val="002C7FB1"/>
    <w:rsid w:val="002D22FA"/>
    <w:rsid w:val="002D547C"/>
    <w:rsid w:val="002E1644"/>
    <w:rsid w:val="002F658A"/>
    <w:rsid w:val="003067D2"/>
    <w:rsid w:val="003217EE"/>
    <w:rsid w:val="003227C0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93D6B"/>
    <w:rsid w:val="003A7D8A"/>
    <w:rsid w:val="003B20FB"/>
    <w:rsid w:val="003B2DA0"/>
    <w:rsid w:val="003C04C3"/>
    <w:rsid w:val="003C0C38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71BFC"/>
    <w:rsid w:val="00484319"/>
    <w:rsid w:val="004859E5"/>
    <w:rsid w:val="00494F90"/>
    <w:rsid w:val="00497D4B"/>
    <w:rsid w:val="004C2852"/>
    <w:rsid w:val="004C521D"/>
    <w:rsid w:val="004D0853"/>
    <w:rsid w:val="004D21D1"/>
    <w:rsid w:val="004E6B6E"/>
    <w:rsid w:val="00502F41"/>
    <w:rsid w:val="00517F50"/>
    <w:rsid w:val="00532505"/>
    <w:rsid w:val="00546EA1"/>
    <w:rsid w:val="00550E57"/>
    <w:rsid w:val="00572B19"/>
    <w:rsid w:val="00576110"/>
    <w:rsid w:val="0058063E"/>
    <w:rsid w:val="00581157"/>
    <w:rsid w:val="0058436C"/>
    <w:rsid w:val="00593CC7"/>
    <w:rsid w:val="005C3060"/>
    <w:rsid w:val="005E73C8"/>
    <w:rsid w:val="00604CAF"/>
    <w:rsid w:val="00632EF7"/>
    <w:rsid w:val="00644B0B"/>
    <w:rsid w:val="00652C89"/>
    <w:rsid w:val="00665850"/>
    <w:rsid w:val="00673181"/>
    <w:rsid w:val="006773DC"/>
    <w:rsid w:val="00680564"/>
    <w:rsid w:val="00685A6B"/>
    <w:rsid w:val="0069139A"/>
    <w:rsid w:val="00691D07"/>
    <w:rsid w:val="006A1540"/>
    <w:rsid w:val="006B0700"/>
    <w:rsid w:val="006B46BD"/>
    <w:rsid w:val="006C0D42"/>
    <w:rsid w:val="006D6857"/>
    <w:rsid w:val="006F6FCC"/>
    <w:rsid w:val="00733480"/>
    <w:rsid w:val="007454D0"/>
    <w:rsid w:val="00746A78"/>
    <w:rsid w:val="00752603"/>
    <w:rsid w:val="0075400A"/>
    <w:rsid w:val="00780389"/>
    <w:rsid w:val="00780BDA"/>
    <w:rsid w:val="00782144"/>
    <w:rsid w:val="00786B1C"/>
    <w:rsid w:val="007A0CE4"/>
    <w:rsid w:val="007C6A08"/>
    <w:rsid w:val="007D7321"/>
    <w:rsid w:val="007E5F4D"/>
    <w:rsid w:val="00803946"/>
    <w:rsid w:val="0081444E"/>
    <w:rsid w:val="008152BC"/>
    <w:rsid w:val="008259CE"/>
    <w:rsid w:val="0083546F"/>
    <w:rsid w:val="00836796"/>
    <w:rsid w:val="008416C6"/>
    <w:rsid w:val="00842632"/>
    <w:rsid w:val="008530D9"/>
    <w:rsid w:val="00873119"/>
    <w:rsid w:val="00883E12"/>
    <w:rsid w:val="00891610"/>
    <w:rsid w:val="008B71D8"/>
    <w:rsid w:val="008B7431"/>
    <w:rsid w:val="008C048D"/>
    <w:rsid w:val="008C2BF8"/>
    <w:rsid w:val="008D7506"/>
    <w:rsid w:val="008E282B"/>
    <w:rsid w:val="008E6870"/>
    <w:rsid w:val="008E6A28"/>
    <w:rsid w:val="008F4FD5"/>
    <w:rsid w:val="0090021B"/>
    <w:rsid w:val="00901C72"/>
    <w:rsid w:val="009053F7"/>
    <w:rsid w:val="00932238"/>
    <w:rsid w:val="00975F08"/>
    <w:rsid w:val="00994516"/>
    <w:rsid w:val="00996157"/>
    <w:rsid w:val="009A1D5E"/>
    <w:rsid w:val="009A670A"/>
    <w:rsid w:val="009C4ECC"/>
    <w:rsid w:val="009C7CE2"/>
    <w:rsid w:val="009F01B3"/>
    <w:rsid w:val="009F4F16"/>
    <w:rsid w:val="00A35F2F"/>
    <w:rsid w:val="00A503CC"/>
    <w:rsid w:val="00A50418"/>
    <w:rsid w:val="00A6601A"/>
    <w:rsid w:val="00A709EE"/>
    <w:rsid w:val="00AB6800"/>
    <w:rsid w:val="00AD031E"/>
    <w:rsid w:val="00AE1BC5"/>
    <w:rsid w:val="00AE7845"/>
    <w:rsid w:val="00AF37E8"/>
    <w:rsid w:val="00B1182F"/>
    <w:rsid w:val="00B12914"/>
    <w:rsid w:val="00B26DB8"/>
    <w:rsid w:val="00B357ED"/>
    <w:rsid w:val="00B5351B"/>
    <w:rsid w:val="00B634E0"/>
    <w:rsid w:val="00B744EC"/>
    <w:rsid w:val="00B855EE"/>
    <w:rsid w:val="00BA0099"/>
    <w:rsid w:val="00BA3AB0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743E1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32E46"/>
    <w:rsid w:val="00D474BB"/>
    <w:rsid w:val="00D504D9"/>
    <w:rsid w:val="00D5621E"/>
    <w:rsid w:val="00D563AC"/>
    <w:rsid w:val="00D62D24"/>
    <w:rsid w:val="00D91CC4"/>
    <w:rsid w:val="00D96AB4"/>
    <w:rsid w:val="00DA2FC3"/>
    <w:rsid w:val="00DA727B"/>
    <w:rsid w:val="00DF193D"/>
    <w:rsid w:val="00E14469"/>
    <w:rsid w:val="00E52B23"/>
    <w:rsid w:val="00E61C55"/>
    <w:rsid w:val="00E63222"/>
    <w:rsid w:val="00E63F8D"/>
    <w:rsid w:val="00E651B8"/>
    <w:rsid w:val="00E92730"/>
    <w:rsid w:val="00EA7AD5"/>
    <w:rsid w:val="00EC0293"/>
    <w:rsid w:val="00EC1B01"/>
    <w:rsid w:val="00EC7D80"/>
    <w:rsid w:val="00ED33E9"/>
    <w:rsid w:val="00ED5A56"/>
    <w:rsid w:val="00EF0B79"/>
    <w:rsid w:val="00F113CC"/>
    <w:rsid w:val="00F27A69"/>
    <w:rsid w:val="00F35645"/>
    <w:rsid w:val="00F61E5D"/>
    <w:rsid w:val="00F66107"/>
    <w:rsid w:val="00F77E28"/>
    <w:rsid w:val="00F95D3E"/>
    <w:rsid w:val="00F966AC"/>
    <w:rsid w:val="00FB05E8"/>
    <w:rsid w:val="00FB19A5"/>
    <w:rsid w:val="00FB53BD"/>
    <w:rsid w:val="00FD5564"/>
    <w:rsid w:val="00FE19A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62478127734033"/>
          <c:y val="4.4057617797775277E-2"/>
          <c:w val="0.85591225575969665"/>
          <c:h val="0.8446262967129109"/>
        </c:manualLayout>
      </c:layout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Конец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</c:strCache>
            </c:strRef>
          </c:cat>
          <c:val>
            <c:numRef>
              <c:f>Sheet1!$B$2:$B$10</c:f>
              <c:numCache>
                <c:formatCode>dd/mm/yy;@</c:formatCode>
                <c:ptCount val="9"/>
                <c:pt idx="0">
                  <c:v>42644</c:v>
                </c:pt>
                <c:pt idx="1">
                  <c:v>42659</c:v>
                </c:pt>
                <c:pt idx="2">
                  <c:v>42675</c:v>
                </c:pt>
                <c:pt idx="3">
                  <c:v>42681</c:v>
                </c:pt>
                <c:pt idx="4">
                  <c:v>42688</c:v>
                </c:pt>
                <c:pt idx="5">
                  <c:v>42702</c:v>
                </c:pt>
                <c:pt idx="6">
                  <c:v>42708</c:v>
                </c:pt>
                <c:pt idx="7">
                  <c:v>42722</c:v>
                </c:pt>
                <c:pt idx="8">
                  <c:v>42723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Старт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</c:strCache>
            </c:strRef>
          </c:cat>
          <c:val>
            <c:numRef>
              <c:f>Sheet1!$C$2:$C$10</c:f>
              <c:numCache>
                <c:formatCode>dd/mm/yy;@</c:formatCode>
                <c:ptCount val="9"/>
                <c:pt idx="0">
                  <c:v>42628</c:v>
                </c:pt>
                <c:pt idx="1">
                  <c:v>42644</c:v>
                </c:pt>
                <c:pt idx="2">
                  <c:v>42659</c:v>
                </c:pt>
                <c:pt idx="3">
                  <c:v>42675</c:v>
                </c:pt>
                <c:pt idx="4">
                  <c:v>42681</c:v>
                </c:pt>
                <c:pt idx="5">
                  <c:v>42688</c:v>
                </c:pt>
                <c:pt idx="6">
                  <c:v>42702</c:v>
                </c:pt>
                <c:pt idx="7">
                  <c:v>42708</c:v>
                </c:pt>
                <c:pt idx="8">
                  <c:v>42722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>
              <a:noFill/>
            </a:ln>
          </c:spPr>
          <c:marker>
            <c:symbol val="dot"/>
            <c:size val="3"/>
          </c:marker>
          <c:cat>
            <c:strRef>
              <c:f>Sheet1!$A$2:$A$10</c:f>
              <c:strCache>
                <c:ptCount val="9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axId val="149116800"/>
        <c:axId val="149118336"/>
      </c:stockChart>
      <c:catAx>
        <c:axId val="149116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49118336"/>
        <c:crosses val="autoZero"/>
        <c:auto val="1"/>
        <c:lblAlgn val="ctr"/>
        <c:lblOffset val="100"/>
        <c:noMultiLvlLbl val="0"/>
      </c:catAx>
      <c:valAx>
        <c:axId val="149118336"/>
        <c:scaling>
          <c:orientation val="minMax"/>
        </c:scaling>
        <c:delete val="0"/>
        <c:axPos val="l"/>
        <c:majorGridlines/>
        <c:numFmt formatCode="dd/mm/yy;@" sourceLinked="1"/>
        <c:majorTickMark val="out"/>
        <c:minorTickMark val="none"/>
        <c:tickLblPos val="nextTo"/>
        <c:crossAx val="149116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1</TotalTime>
  <Pages>14</Pages>
  <Words>3150</Words>
  <Characters>17960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Структура проекта</vt:lpstr>
      <vt:lpstr>Структура проекта</vt:lpstr>
    </vt:vector>
  </TitlesOfParts>
  <Company>NetCracker</Company>
  <LinksUpToDate>false</LinksUpToDate>
  <CharactersWithSpaces>21068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creator>Александр В. Сысоев</dc:creator>
  <cp:lastModifiedBy>Aleksei Sakharov</cp:lastModifiedBy>
  <cp:revision>2</cp:revision>
  <cp:lastPrinted>1900-12-31T21:00:00Z</cp:lastPrinted>
  <dcterms:created xsi:type="dcterms:W3CDTF">2016-11-16T09:02:00Z</dcterms:created>
  <dcterms:modified xsi:type="dcterms:W3CDTF">2016-11-16T09:02:00Z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