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34D1F"/>
          <w:sz w:val="26"/>
        </w:rPr>
        <w:t>Ma Villa</w:t>
      </w:r>
    </w:p>
    <w:p>
      <w:r>
        <w:rPr>
          <w:color w:val="5C5650"/>
          <w:sz w:val="18"/>
        </w:rPr>
        <w:t>Location de villas et vente d’artisanat — Sénégal</w:t>
      </w:r>
    </w:p>
    <w:p>
      <w:pPr>
        <w:spacing w:before="200"/>
      </w:pPr>
      <w:r>
        <w:rPr>
          <w:b/>
          <w:color w:val="1A1614"/>
          <w:sz w:val="36"/>
        </w:rPr>
        <w:t>Note au juriste — version 3</w:t>
      </w:r>
    </w:p>
    <w:p>
      <w:r>
        <w:t>22 août 2026. Fait suite aux notes du 10 août et du 18 août.</w:t>
      </w:r>
    </w:p>
    <w:p>
      <w:r>
        <w:rPr>
          <w:b/>
        </w:rPr>
        <w:t>Objet.</w:t>
      </w:r>
      <w:r>
        <w:t xml:space="preserve"> Trois choses, dans l'ordre inverse de leur importance.</w:t>
      </w:r>
    </w:p>
    <w:p>
      <w:pPr>
        <w:pStyle w:val="ListNumber"/>
      </w:pPr>
      <w:r>
        <w:t xml:space="preserve">Un chiffre de la note du 18 août est devenu </w:t>
      </w:r>
      <w:r>
        <w:rPr>
          <w:b/>
        </w:rPr>
        <w:t>faux</w:t>
      </w:r>
      <w:r>
        <w:t xml:space="preserve"> : le mode de calcul de la commission a changé le 21 août.</w:t>
      </w:r>
    </w:p>
    <w:p>
      <w:pPr>
        <w:pStyle w:val="ListNumber"/>
      </w:pPr>
      <w:r>
        <w:rPr>
          <w:b/>
        </w:rPr>
        <w:t>Un second métier est apparu</w:t>
      </w:r>
      <w:r>
        <w:t xml:space="preserve"> — la vente d'objets d'artisanat. Les quatre documents que vous avez relus ne le couvrent nulle part, et il ne relève pas du même droit que la location.</w:t>
      </w:r>
    </w:p>
    <w:p>
      <w:pPr>
        <w:pStyle w:val="ListNumber"/>
      </w:pPr>
      <w:r>
        <w:rPr>
          <w:b/>
        </w:rPr>
        <w:t>Il n'existe aucune société.</w:t>
      </w:r>
      <w:r>
        <w:t xml:space="preserve"> L'activité est exercée de manière informelle, par une personne physique — pas de raison sociale, pas de siège déclaré, pas de registre de commerce. Vos textes supposaient l'inverse. Voir le § 3, qui est le cœur de cette note.</w:t>
      </w:r>
    </w:p>
    <w:p>
      <w:r>
        <w:t>Ce document décrit ce que le logiciel fait réellement au 22 août 2026. Il n'a pas valeur d'avis juridique et n'est pas destiné à être publié.</w:t>
      </w:r>
    </w:p>
    <w:p>
      <w:pPr>
        <w:jc w:val="center"/>
      </w:pPr>
      <w:r>
        <w:rPr>
          <w:color w:val="5C5650"/>
        </w:rPr>
        <w:t>• • •</w:t>
      </w:r>
    </w:p>
    <w:p>
      <w:pPr>
        <w:spacing w:before="320"/>
      </w:pPr>
      <w:r>
        <w:rPr>
          <w:b/>
          <w:color w:val="A34D1F"/>
          <w:sz w:val="26"/>
        </w:rPr>
        <w:t>1. Correction — la commission n'a plus deux taux, mais un barème</w:t>
      </w:r>
    </w:p>
    <w:p>
      <w:r>
        <w:t xml:space="preserve">La note du 18 août annonçait : *« 20 % à partir de 50 000 FCFA · 10 % en dessous »*. Deux taux pleins. </w:t>
      </w:r>
      <w:r>
        <w:rPr>
          <w:b/>
        </w:rPr>
        <w:t>Ce n'est plus exact depuis le 21 août.</w:t>
      </w:r>
    </w:p>
    <w:p>
      <w:r>
        <w:t xml:space="preserve">La commission est désormais </w:t>
      </w:r>
      <w:r>
        <w:rPr>
          <w:b/>
        </w:rPr>
        <w:t>progressive par tranches</w:t>
      </w:r>
      <w:r>
        <w:t>, comme un barème d'imposition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</w:tcPr>
          <w:p>
            <w:r/>
            <w:r>
              <w:rPr>
                <w:b/>
                <w:color w:val="A34D1F"/>
                <w:sz w:val="20"/>
              </w:rPr>
              <w:t>Tranche</w:t>
            </w:r>
          </w:p>
        </w:tc>
        <w:tc>
          <w:tcPr>
            <w:tcW w:type="dxa" w:w="4709"/>
          </w:tcPr>
          <w:p>
            <w:r/>
            <w:r>
              <w:rPr>
                <w:b/>
                <w:color w:val="A34D1F"/>
                <w:sz w:val="20"/>
              </w:rPr>
              <w:t>Taux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Les 50 000 premiers francs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10 %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Ce qui dépasse 50 000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20 %</w:t>
            </w:r>
          </w:p>
        </w:tc>
      </w:tr>
    </w:tbl>
    <w:p/>
    <w:p>
      <w:r>
        <w:rPr>
          <w:b/>
        </w:rPr>
        <w:t>Pourquoi ce changement.</w:t>
      </w:r>
      <w:r>
        <w:t xml:space="preserve"> Les deux taux pleins créaient une marche absurde : à 49 000 FCFA le propriétaire touchait 44 100 ; à 51 000 il touchait 40 800. Augmenter son prix de 2 000 francs lui en coûtait 3 300. Un barème qui punit celui qui monte en gamme finit par être contourné hors plateforme.</w:t>
      </w:r>
    </w:p>
    <w:p>
      <w:r>
        <w:rPr>
          <w:b/>
        </w:rPr>
        <w:t>Ce que cela change pour la rédaction.</w:t>
      </w:r>
      <w:r>
        <w:t xml:space="preserve"> Le taux affiché ne peut plus être « 20 % » : le taux effectivement supporté dépend du montant et n'atteint jamais 20 %.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</w:tcPr>
          <w:p>
            <w:r/>
            <w:r>
              <w:rPr>
                <w:b/>
                <w:color w:val="A34D1F"/>
                <w:sz w:val="20"/>
              </w:rPr>
              <w:t>Prix payé par le client</w:t>
            </w:r>
          </w:p>
        </w:tc>
        <w:tc>
          <w:tcPr>
            <w:tcW w:type="dxa" w:w="2354"/>
          </w:tcPr>
          <w:p>
            <w:r/>
            <w:r>
              <w:rPr>
                <w:b/>
                <w:color w:val="A34D1F"/>
                <w:sz w:val="20"/>
              </w:rPr>
              <w:t>Commission</w:t>
            </w:r>
          </w:p>
        </w:tc>
        <w:tc>
          <w:tcPr>
            <w:tcW w:type="dxa" w:w="2354"/>
          </w:tcPr>
          <w:p>
            <w:r/>
            <w:r>
              <w:rPr>
                <w:b/>
                <w:color w:val="A34D1F"/>
                <w:sz w:val="20"/>
              </w:rPr>
              <w:t>Le propriétaire touche</w:t>
            </w:r>
          </w:p>
        </w:tc>
        <w:tc>
          <w:tcPr>
            <w:tcW w:type="dxa" w:w="2354"/>
          </w:tcPr>
          <w:p>
            <w:r/>
            <w:r>
              <w:rPr>
                <w:b/>
                <w:color w:val="A34D1F"/>
                <w:sz w:val="20"/>
              </w:rPr>
              <w:t>Taux effectif</w:t>
            </w:r>
          </w:p>
        </w:tc>
      </w:tr>
      <w:tr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30 000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3 000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27 000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10 %</w:t>
            </w:r>
          </w:p>
        </w:tc>
      </w:tr>
      <w:tr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50 000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5 000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45 000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10 %</w:t>
            </w:r>
          </w:p>
        </w:tc>
      </w:tr>
      <w:tr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100 000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15 000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85 000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15 %</w:t>
            </w:r>
          </w:p>
        </w:tc>
      </w:tr>
      <w:tr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200 000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35 000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165 000</w:t>
            </w:r>
          </w:p>
        </w:tc>
        <w:tc>
          <w:tcPr>
            <w:tcW w:type="dxa" w:w="2354"/>
          </w:tcPr>
          <w:p>
            <w:r>
              <w:rPr>
                <w:sz w:val="20"/>
              </w:rPr>
            </w:r>
            <w:r>
              <w:rPr>
                <w:sz w:val="20"/>
              </w:rPr>
              <w:t>17,5 %</w:t>
            </w:r>
          </w:p>
        </w:tc>
      </w:tr>
    </w:tbl>
    <w:p/>
    <w:p>
      <w:pPr>
        <w:ind w:left="432"/>
      </w:pPr>
      <w:r>
        <w:rPr>
          <w:b/>
          <w:color w:val="5C5650"/>
        </w:rPr>
        <w:t>Ce qu'il faudrait écrire :</w:t>
      </w:r>
      <w:r>
        <w:rPr>
          <w:color w:val="5C5650"/>
        </w:rPr>
        <w:t xml:space="preserve"> la règle des deux tranches, et au moins un exemple</w:t>
      </w:r>
    </w:p>
    <w:p>
      <w:pPr>
        <w:ind w:left="432"/>
      </w:pPr>
      <w:r>
        <w:rPr>
          <w:color w:val="5C5650"/>
        </w:rPr>
        <w:t>chiffré. Un propriétaire qui lit « 20 % » et perçoit 85 % se croira lésé dans l'autre</w:t>
      </w:r>
    </w:p>
    <w:p>
      <w:pPr>
        <w:ind w:left="432"/>
      </w:pPr>
      <w:r>
        <w:rPr>
          <w:color w:val="5C5650"/>
        </w:rPr>
        <w:t>sens — il faut que le texte permette de retrouver le calcul soi-même.</w:t>
      </w:r>
    </w:p>
    <w:p>
      <w:r>
        <w:t xml:space="preserve">L'assiette, elle, n'a pas changé : la commission est </w:t>
      </w:r>
      <w:r>
        <w:rPr>
          <w:b/>
        </w:rPr>
        <w:t>prélevée sur</w:t>
      </w:r>
      <w:r>
        <w:t xml:space="preserve"> ce que paie le client, jamais ajoutée par-dessus. Le prix affiché sur l'annonce est celui qui est débité.</w:t>
      </w:r>
    </w:p>
    <w:p>
      <w:pPr>
        <w:jc w:val="center"/>
      </w:pPr>
      <w:r>
        <w:rPr>
          <w:color w:val="5C5650"/>
        </w:rPr>
        <w:t>• • •</w:t>
      </w:r>
    </w:p>
    <w:p>
      <w:pPr>
        <w:spacing w:before="320"/>
      </w:pPr>
      <w:r>
        <w:rPr>
          <w:b/>
          <w:color w:val="A34D1F"/>
          <w:sz w:val="26"/>
        </w:rPr>
        <w:t>2. Le point lourd — une activité de vente, non couverte</w:t>
      </w:r>
    </w:p>
    <w:p>
      <w:r>
        <w:t xml:space="preserve">Depuis le 20 août, la plateforme vend des objets d'artisanat sénégalais : tableaux, sculptures, bijoux, vêtements, sacs, tissus. </w:t>
      </w:r>
      <w:r>
        <w:rPr>
          <w:b/>
        </w:rPr>
        <w:t>Dix-neuf articles de démonstration sont en ligne</w:t>
      </w:r>
      <w:r>
        <w:t>, avec des prix et des noms d'artisans fictifs, en attendant le vrai catalogue.</w:t>
      </w:r>
    </w:p>
    <w:p>
      <w:pPr>
        <w:spacing w:before="220"/>
      </w:pPr>
      <w:r>
        <w:rPr>
          <w:b/>
          <w:color w:val="1A1614"/>
          <w:sz w:val="23"/>
        </w:rPr>
        <w:t>Ce qui distingue radicalement ce métier du premier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</w:tcPr>
          <w:p>
            <w:r/>
            <w:r>
              <w:rPr>
                <w:b/>
                <w:color w:val="A34D1F"/>
                <w:sz w:val="20"/>
              </w:rPr>
              <w:t>Location de villas</w:t>
            </w:r>
          </w:p>
        </w:tc>
        <w:tc>
          <w:tcPr>
            <w:tcW w:type="dxa" w:w="4709"/>
          </w:tcPr>
          <w:p>
            <w:r/>
            <w:r>
              <w:rPr>
                <w:b/>
                <w:color w:val="A34D1F"/>
                <w:sz w:val="20"/>
              </w:rPr>
              <w:t>Boutique d'artisanat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Ma Villa </w:t>
            </w:r>
            <w:r>
              <w:rPr>
                <w:b/>
                <w:sz w:val="20"/>
              </w:rPr>
              <w:t>met en relation</w:t>
            </w:r>
            <w:r>
              <w:rPr>
                <w:sz w:val="20"/>
              </w:rPr>
              <w:t xml:space="preserve"> ; le contrat lie le client et le propriétaire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 Villa est le vendeur.</w:t>
            </w:r>
            <w:r>
              <w:rPr>
                <w:sz w:val="20"/>
              </w:rPr>
              <w:t xml:space="preserve"> Le contrat la lie directement au client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Commission prélevée, reversement au propriétaire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Aucune commission, aucun reversement — le produit de la vente lui revient entièrement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Prestation de service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Vente de biens à distance</w:t>
            </w:r>
          </w:p>
        </w:tc>
      </w:tr>
    </w:tbl>
    <w:p/>
    <w:p>
      <w:r>
        <w:t>L'artisan n'a pas de compte sur la plateforme : son nom est une information portée par l'article, comme sa technique ou ses dimensions.</w:t>
      </w:r>
    </w:p>
    <w:p>
      <w:pPr>
        <w:spacing w:before="220"/>
      </w:pPr>
      <w:r>
        <w:rPr>
          <w:b/>
          <w:color w:val="1A1614"/>
          <w:sz w:val="23"/>
        </w:rPr>
        <w:t>Comment la vente se déroule aujourd'hui</w:t>
      </w:r>
    </w:p>
    <w:p>
      <w:pPr>
        <w:pStyle w:val="ListBullet"/>
      </w:pPr>
      <w:r>
        <w:rPr>
          <w:b/>
        </w:rPr>
        <w:t>Un article par commande.</w:t>
      </w:r>
      <w:r>
        <w:t xml:space="preserve"> Il n'y a pas de panier.</w:t>
      </w:r>
    </w:p>
    <w:p>
      <w:pPr>
        <w:pStyle w:val="ListBullet"/>
      </w:pPr>
      <w:r>
        <w:rPr>
          <w:b/>
        </w:rPr>
        <w:t>Trois zones de livraison</w:t>
      </w:r>
      <w:r>
        <w:t xml:space="preserve"> : Dakar (2 000 FCFA), autres régions (5 000 FCFA), retrait sur place (gratuit). Les trois tarifs sont visibles avant le choix, et le total n'apparaît qu'une fois la zone choisie.</w:t>
      </w:r>
    </w:p>
    <w:p>
      <w:pPr>
        <w:pStyle w:val="ListBullet"/>
      </w:pPr>
      <w:r>
        <w:rPr>
          <w:b/>
        </w:rPr>
        <w:t>Deux façons de payer</w:t>
      </w:r>
      <w:r>
        <w:t xml:space="preserve"> : en ligne (Wave ou Orange Money), ou </w:t>
      </w:r>
      <w:r>
        <w:rPr>
          <w:b/>
        </w:rPr>
        <w:t>à la livraison</w:t>
      </w:r>
      <w:r>
        <w:t>, en main propre. Une commande à régler à la livraison est valable sans qu'un franc ait transité.</w:t>
      </w:r>
    </w:p>
    <w:p>
      <w:pPr>
        <w:pStyle w:val="ListBullet"/>
      </w:pPr>
      <w:r>
        <w:rPr>
          <w:b/>
        </w:rPr>
        <w:t>L'exemplaire quitte le stock dès la validation de la commande</w:t>
      </w:r>
      <w:r>
        <w:t>, avant tout paiement. C'est délibéré : attendre le règlement laisserait une fenêtre pendant laquelle un second acheteur pourrait prendre le même article.</w:t>
      </w:r>
    </w:p>
    <w:p>
      <w:pPr>
        <w:pStyle w:val="ListBullet"/>
      </w:pPr>
      <w:r>
        <w:rPr>
          <w:b/>
        </w:rPr>
        <w:t>Le prix est figé au moment de la commande.</w:t>
      </w:r>
      <w:r>
        <w:t xml:space="preserve"> Relever un prix ne réécrit pas une vente passée.</w:t>
      </w:r>
    </w:p>
    <w:p>
      <w:pPr>
        <w:pStyle w:val="ListBullet"/>
      </w:pPr>
      <w:r>
        <w:rPr>
          <w:b/>
        </w:rPr>
        <w:t>Aucun remboursement automatique.</w:t>
      </w:r>
      <w:r>
        <w:t xml:space="preserve"> Une commande payée en ligne puis annulée se rembourse à la main depuis le tableau de bord PayDunya.</w:t>
      </w:r>
    </w:p>
    <w:p>
      <w:pPr>
        <w:pStyle w:val="ListBullet"/>
      </w:pPr>
      <w:r>
        <w:rPr>
          <w:b/>
        </w:rPr>
        <w:t>Aucun suivi de livraison.</w:t>
      </w:r>
      <w:r>
        <w:t xml:space="preserve"> L'acheteur voit trois étapes — confirmée, expédiée, livrée — sans code de suivi ni transporteur nommé.</w:t>
      </w:r>
    </w:p>
    <w:p>
      <w:pPr>
        <w:pStyle w:val="ListBullet"/>
      </w:pPr>
      <w:r>
        <w:rPr>
          <w:b/>
        </w:rPr>
        <w:t>Aucune gestion de tailles</w:t>
      </w:r>
      <w:r>
        <w:t xml:space="preserve"> pour les vêtements et les chaussures : l'acheteur précise sa taille dans une note libre.</w:t>
      </w:r>
    </w:p>
    <w:p>
      <w:pPr>
        <w:spacing w:before="220"/>
      </w:pPr>
      <w:r>
        <w:rPr>
          <w:b/>
          <w:color w:val="1A1614"/>
          <w:sz w:val="23"/>
        </w:rPr>
        <w:t>Ce dont nous avons besoin</w:t>
      </w:r>
    </w:p>
    <w:p>
      <w:r>
        <w:rPr>
          <w:b/>
        </w:rPr>
        <w:t>Des conditions générales de vente, distinctes des conditions d'utilisation.</w:t>
      </w:r>
      <w:r>
        <w:t xml:space="preserve"> Les secondes régissent une mise en relation ; les premières régissent une vente. Les confondre dans un seul texte rendrait les deux illisibles.</w:t>
      </w:r>
    </w:p>
    <w:p>
      <w:pPr>
        <w:ind w:left="432"/>
      </w:pPr>
      <w:r>
        <w:rPr>
          <w:b/>
          <w:color w:val="5C5650"/>
        </w:rPr>
        <w:t>Les questions qui nous dépassent :</w:t>
      </w:r>
    </w:p>
    <w:p>
      <w:r>
        <w:t>&gt;</w:t>
      </w:r>
    </w:p>
    <w:p>
      <w:pPr>
        <w:ind w:left="432"/>
      </w:pPr>
      <w:r>
        <w:rPr>
          <w:color w:val="5C5650"/>
        </w:rPr>
        <w:t xml:space="preserve">1. </w:t>
      </w:r>
      <w:r>
        <w:rPr>
          <w:b/>
          <w:color w:val="5C5650"/>
        </w:rPr>
        <w:t>Existe-t-il un droit de rétractation</w:t>
      </w:r>
      <w:r>
        <w:rPr>
          <w:color w:val="5C5650"/>
        </w:rPr>
        <w:t xml:space="preserve"> applicable à une vente à distance au</w:t>
      </w:r>
    </w:p>
    <w:p>
      <w:pPr>
        <w:ind w:left="432"/>
      </w:pPr>
      <w:r>
        <w:rPr>
          <w:color w:val="5C5650"/>
        </w:rPr>
        <w:t xml:space="preserve">   Sénégal, et sous quel délai ? Les textes actuels n'en parlent pas du tout.</w:t>
      </w:r>
    </w:p>
    <w:p>
      <w:pPr>
        <w:ind w:left="432"/>
      </w:pPr>
      <w:r>
        <w:rPr>
          <w:color w:val="5C5650"/>
        </w:rPr>
        <w:t xml:space="preserve">2. </w:t>
      </w:r>
      <w:r>
        <w:rPr>
          <w:b/>
          <w:color w:val="5C5650"/>
        </w:rPr>
        <w:t>Qui supporte les frais de retour</w:t>
      </w:r>
      <w:r>
        <w:rPr>
          <w:color w:val="5C5650"/>
        </w:rPr>
        <w:t>, et dans quel état l'article doit-il revenir ?</w:t>
      </w:r>
    </w:p>
    <w:p>
      <w:pPr>
        <w:ind w:left="432"/>
      </w:pPr>
      <w:r>
        <w:rPr>
          <w:color w:val="5C5650"/>
        </w:rPr>
        <w:t xml:space="preserve">3. </w:t>
      </w:r>
      <w:r>
        <w:rPr>
          <w:b/>
          <w:color w:val="5C5650"/>
        </w:rPr>
        <w:t>Une pièce unique</w:t>
      </w:r>
      <w:r>
        <w:rPr>
          <w:color w:val="5C5650"/>
        </w:rPr>
        <w:t xml:space="preserve"> — un tableau, une sculpture — se traite-t-elle comme un article</w:t>
      </w:r>
    </w:p>
    <w:p>
      <w:pPr>
        <w:ind w:left="432"/>
      </w:pPr>
      <w:r>
        <w:rPr>
          <w:color w:val="5C5650"/>
        </w:rPr>
        <w:t xml:space="preserve">   de série ? Un retour y est plus coûteux : l'article a été retiré de la vente pendant</w:t>
      </w:r>
    </w:p>
    <w:p>
      <w:pPr>
        <w:ind w:left="432"/>
      </w:pPr>
      <w:r>
        <w:rPr>
          <w:color w:val="5C5650"/>
        </w:rPr>
        <w:t xml:space="preserve">   tout le trajet.</w:t>
      </w:r>
    </w:p>
    <w:p>
      <w:pPr>
        <w:ind w:left="432"/>
      </w:pPr>
      <w:r>
        <w:rPr>
          <w:color w:val="5C5650"/>
        </w:rPr>
        <w:t xml:space="preserve">4. </w:t>
      </w:r>
      <w:r>
        <w:rPr>
          <w:b/>
          <w:color w:val="5C5650"/>
        </w:rPr>
        <w:t>Le paiement à la livraison</w:t>
      </w:r>
      <w:r>
        <w:rPr>
          <w:color w:val="5C5650"/>
        </w:rPr>
        <w:t xml:space="preserve"> appelle-t-il des mentions particulières ? Rien n'est</w:t>
      </w:r>
    </w:p>
    <w:p>
      <w:pPr>
        <w:ind w:left="432"/>
      </w:pPr>
      <w:r>
        <w:rPr>
          <w:color w:val="5C5650"/>
        </w:rPr>
        <w:t xml:space="preserve">   encaissé avant la remise en main propre.</w:t>
      </w:r>
    </w:p>
    <w:p>
      <w:pPr>
        <w:ind w:left="432"/>
      </w:pPr>
      <w:r>
        <w:rPr>
          <w:color w:val="5C5650"/>
        </w:rPr>
        <w:t xml:space="preserve">5. </w:t>
      </w:r>
      <w:r>
        <w:rPr>
          <w:b/>
          <w:color w:val="5C5650"/>
        </w:rPr>
        <w:t>La garantie de conformité</w:t>
      </w:r>
      <w:r>
        <w:rPr>
          <w:color w:val="5C5650"/>
        </w:rPr>
        <w:t xml:space="preserve"> d'un objet fait main, par nature non identique d'un</w:t>
      </w:r>
    </w:p>
    <w:p>
      <w:pPr>
        <w:ind w:left="432"/>
      </w:pPr>
      <w:r>
        <w:rPr>
          <w:color w:val="5C5650"/>
        </w:rPr>
        <w:t xml:space="preserve">   exemplaire à l'autre : que peut-on promettre ?</w:t>
      </w:r>
    </w:p>
    <w:p>
      <w:r>
        <w:t xml:space="preserve">⚠️ </w:t>
      </w:r>
      <w:r>
        <w:rPr>
          <w:b/>
        </w:rPr>
        <w:t>Tant que ce texte n'existe pas, la boutique ne devrait pas ouvrir commercialement.</w:t>
      </w:r>
      <w:r>
        <w:t xml:space="preserve"> Elle est techniquement en ligne avec un catalogue de démonstration.</w:t>
      </w:r>
    </w:p>
    <w:p>
      <w:pPr>
        <w:jc w:val="center"/>
      </w:pPr>
      <w:r>
        <w:rPr>
          <w:color w:val="5C5650"/>
        </w:rPr>
        <w:t>• • •</w:t>
      </w:r>
    </w:p>
    <w:p>
      <w:pPr>
        <w:spacing w:before="320"/>
      </w:pPr>
      <w:r>
        <w:rPr>
          <w:b/>
          <w:color w:val="A34D1F"/>
          <w:sz w:val="26"/>
        </w:rPr>
        <w:t>3. Vos questions du 18 août — une est tranchée, trois restent ouvertes</w:t>
      </w:r>
    </w:p>
    <w:p>
      <w:pPr>
        <w:spacing w:before="220"/>
      </w:pPr>
      <w:r>
        <w:rPr>
          <w:b/>
          <w:color w:val="1A1614"/>
          <w:sz w:val="23"/>
        </w:rPr>
        <w:t>§ 6 · Délai et périodicité du reversement au propriétaire — **tranchée**</w:t>
      </w:r>
    </w:p>
    <w:p>
      <w:r>
        <w:rPr>
          <w:b/>
        </w:rPr>
        <w:t>L'exploitant a décidé de n'annoncer aucun délai.</w:t>
      </w:r>
      <w:r>
        <w:t xml:space="preserve"> Le reversement intervient après la fin du séjour, sans échéance promise au propriétaire.</w:t>
      </w:r>
    </w:p>
    <w:p>
      <w:r>
        <w:t>Le raisonnement : le versement se fait aujourd'hui à la main, et un délai annoncé puis manqué une fois sur deux vaut moins que pas de délai du tout. Le suivi existe côté administration — on sait exactement qui attend, combien, et depuis quand — mais rien n'est promis au propriétaire.</w:t>
      </w:r>
    </w:p>
    <w:p>
      <w:pPr>
        <w:ind w:left="432"/>
      </w:pPr>
      <w:r>
        <w:rPr>
          <w:b/>
          <w:color w:val="5C5650"/>
        </w:rPr>
        <w:t>Ce qu'il nous faut savoir :</w:t>
      </w:r>
      <w:r>
        <w:rPr>
          <w:color w:val="5C5650"/>
        </w:rPr>
        <w:t xml:space="preserve"> l'absence de tout délai est-elle tenable, ou faut-il en</w:t>
      </w:r>
    </w:p>
    <w:p>
      <w:pPr>
        <w:ind w:left="432"/>
      </w:pPr>
      <w:r>
        <w:rPr>
          <w:color w:val="5C5650"/>
        </w:rPr>
        <w:t>inscrire un, fût-il large ? Un propriétaire peut-il exiger son versement à une date ?</w:t>
      </w:r>
    </w:p>
    <w:p>
      <w:pPr>
        <w:spacing w:before="220"/>
      </w:pPr>
      <w:r>
        <w:rPr>
          <w:b/>
          <w:color w:val="1A1614"/>
          <w:sz w:val="23"/>
        </w:rPr>
        <w:t>§ 7 · La commission est-elle restituée en cas de remboursement intégral — **ouverte**</w:t>
      </w:r>
    </w:p>
    <w:p>
      <w:r>
        <w:t>C'est toujours celle qui expose le plus : elle détermine la somme effectivement rendue au client. Quelle que soit la réponse, elle doit être écrite noir sur blanc.</w:t>
      </w:r>
    </w:p>
    <w:p>
      <w:pPr>
        <w:spacing w:before="220"/>
      </w:pPr>
      <w:r>
        <w:rPr>
          <w:b/>
          <w:color w:val="1A1614"/>
          <w:sz w:val="23"/>
        </w:rPr>
        <w:t>§ 5 · Préavis avant un changement de taux de commission — **ouverte**</w:t>
      </w:r>
    </w:p>
    <w:p>
      <w:pPr>
        <w:spacing w:before="220"/>
      </w:pPr>
      <w:r>
        <w:rPr>
          <w:b/>
          <w:color w:val="1A1614"/>
          <w:sz w:val="23"/>
        </w:rPr>
        <w:t>§ 1 · Raison sociale de l'exploitant — **il n'y en a pas**</w:t>
      </w:r>
    </w:p>
    <w:p>
      <w:r>
        <w:t>C'est le point sur lequel nous avons le plus besoin de vous, et la réponse n'est pas celle que la question suppose.</w:t>
      </w:r>
    </w:p>
    <w:p>
      <w:r>
        <w:rPr>
          <w:b/>
        </w:rPr>
        <w:t>Il n'existe aujourd'hui aucune société.</w:t>
      </w:r>
      <w:r>
        <w:t xml:space="preserve"> Pas de raison sociale, pas de siège déclaré, pas de registre de commerce ni de NINEA. L'activité est exercée </w:t>
      </w:r>
      <w:r>
        <w:rPr>
          <w:b/>
        </w:rPr>
        <w:t>de manière informelle</w:t>
      </w:r>
      <w:r>
        <w:t>, par une personne physique.</w:t>
      </w:r>
    </w:p>
    <w:p>
      <w:r>
        <w:t xml:space="preserve">La seule information d'entreprise dont nous disposons est l'adresse de contact — </w:t>
      </w:r>
      <w:r>
        <w:rPr>
          <w:rFonts w:ascii="Consolas" w:hAnsi="Consolas"/>
          <w:color w:val="5C5650"/>
          <w:sz w:val="19"/>
        </w:rPr>
        <w:t>contactsmavilla@gmail.com</w:t>
      </w:r>
      <w:r>
        <w:t xml:space="preserve"> — déjà publiée sur les quatre pages.</w:t>
      </w:r>
    </w:p>
    <w:p>
      <w:r>
        <w:t>L'hébergement, lui, est connu : le site est servi par Render, l'interface applicative par Railway, tous deux hors du Sénégal.</w:t>
      </w:r>
    </w:p>
    <w:p>
      <w:pPr>
        <w:ind w:left="432"/>
      </w:pPr>
      <w:r>
        <w:rPr>
          <w:b/>
          <w:color w:val="5C5650"/>
        </w:rPr>
        <w:t>Ce que nous vous demandons, dans cet ordre :</w:t>
      </w:r>
    </w:p>
    <w:p>
      <w:r>
        <w:t>&gt;</w:t>
      </w:r>
    </w:p>
    <w:p>
      <w:pPr>
        <w:ind w:left="432"/>
      </w:pPr>
      <w:r>
        <w:rPr>
          <w:color w:val="5C5650"/>
        </w:rPr>
        <w:t xml:space="preserve">1. </w:t>
      </w:r>
      <w:r>
        <w:rPr>
          <w:b/>
          <w:color w:val="5C5650"/>
        </w:rPr>
        <w:t>Peut-on publier des mentions légales sans société ?</w:t>
      </w:r>
      <w:r>
        <w:rPr>
          <w:color w:val="5C5650"/>
        </w:rPr>
        <w:t xml:space="preserve"> Si oui, quelles mentions</w:t>
      </w:r>
    </w:p>
    <w:p>
      <w:pPr>
        <w:ind w:left="432"/>
      </w:pPr>
      <w:r>
        <w:rPr>
          <w:color w:val="5C5650"/>
        </w:rPr>
        <w:t xml:space="preserve">   tiennent lieu d'identification de l'éditeur — nom de la personne physique, adresse</w:t>
      </w:r>
    </w:p>
    <w:p>
      <w:pPr>
        <w:ind w:left="432"/>
      </w:pPr>
      <w:r>
        <w:rPr>
          <w:color w:val="5C5650"/>
        </w:rPr>
        <w:t xml:space="preserve">   personnelle, autre chose ? Nous ne savons pas ce qu'il est obligatoire d'y faire</w:t>
      </w:r>
    </w:p>
    <w:p>
      <w:pPr>
        <w:ind w:left="432"/>
      </w:pPr>
      <w:r>
        <w:rPr>
          <w:color w:val="5C5650"/>
        </w:rPr>
        <w:t xml:space="preserve">   figurer, ni ce qu'il est prudent de ne pas y mettre.</w:t>
      </w:r>
    </w:p>
    <w:p>
      <w:pPr>
        <w:ind w:left="432"/>
      </w:pPr>
      <w:r>
        <w:rPr>
          <w:color w:val="5C5650"/>
        </w:rPr>
        <w:t xml:space="preserve">2. </w:t>
      </w:r>
      <w:r>
        <w:rPr>
          <w:b/>
          <w:color w:val="5C5650"/>
        </w:rPr>
        <w:t>Les conditions générales peuvent-elles nommer une personne physique</w:t>
      </w:r>
      <w:r>
        <w:rPr>
          <w:color w:val="5C5650"/>
        </w:rPr>
        <w:t xml:space="preserve"> là où elles</w:t>
      </w:r>
    </w:p>
    <w:p>
      <w:pPr>
        <w:ind w:left="432"/>
      </w:pPr>
      <w:r>
        <w:rPr>
          <w:color w:val="5C5650"/>
        </w:rPr>
        <w:t xml:space="preserve">   prévoyaient une raison sociale, sans autre changement ?</w:t>
      </w:r>
    </w:p>
    <w:p>
      <w:pPr>
        <w:ind w:left="432"/>
      </w:pPr>
      <w:r>
        <w:rPr>
          <w:color w:val="5C5650"/>
        </w:rPr>
        <w:t xml:space="preserve">3. </w:t>
      </w:r>
      <w:r>
        <w:rPr>
          <w:b/>
          <w:color w:val="5C5650"/>
        </w:rPr>
        <w:t>À partir de quel seuil la déclaration devient-elle exigible ?</w:t>
      </w:r>
      <w:r>
        <w:rPr>
          <w:color w:val="5C5650"/>
        </w:rPr>
        <w:t xml:space="preserve"> Chiffre d'affaires,</w:t>
      </w:r>
    </w:p>
    <w:p>
      <w:pPr>
        <w:ind w:left="432"/>
      </w:pPr>
      <w:r>
        <w:rPr>
          <w:color w:val="5C5650"/>
        </w:rPr>
        <w:t xml:space="preserve">   nombre de transactions, ancienneté — nous préférons connaître la limite avant de</w:t>
      </w:r>
    </w:p>
    <w:p>
      <w:pPr>
        <w:ind w:left="432"/>
      </w:pPr>
      <w:r>
        <w:rPr>
          <w:color w:val="5C5650"/>
        </w:rPr>
        <w:t xml:space="preserve">   l'atteindre.</w:t>
      </w:r>
    </w:p>
    <w:p>
      <w:pPr>
        <w:spacing w:before="220"/>
      </w:pPr>
      <w:r>
        <w:rPr>
          <w:b/>
          <w:color w:val="1A1614"/>
          <w:sz w:val="23"/>
        </w:rPr>
        <w:t>Le point que cela rend urgent</w:t>
      </w:r>
    </w:p>
    <w:p>
      <w:r>
        <w:t xml:space="preserve">La note du 18 août signalait déjà que la plateforme </w:t>
      </w:r>
      <w:r>
        <w:rPr>
          <w:b/>
        </w:rPr>
        <w:t>détient des fonds appartenant à des tiers</w:t>
      </w:r>
      <w:r>
        <w:t xml:space="preserve"> entre l'encaissement et le reversement. Cette question se posait alors en théorie ; elle se pose maintenant en pratique, puisqu'aucune structure ne porte l'activité.</w:t>
      </w:r>
    </w:p>
    <w:p>
      <w:r>
        <w:t>Concrètement, aujourd'hui : l'argent des clients arrive sur un compte marchand PayDunya, et la part des propriétaires y reste jusqu'à un virement fait à la main. Nous ne savons pas si cette situation est tenable en l'état, ni ce qu'elle expose.</w:t>
      </w:r>
    </w:p>
    <w:p>
      <w:pPr>
        <w:ind w:left="432"/>
      </w:pPr>
      <w:r>
        <w:rPr>
          <w:b/>
          <w:color w:val="5C5650"/>
        </w:rPr>
        <w:t>Ce que nous vous demandons :</w:t>
      </w:r>
      <w:r>
        <w:rPr>
          <w:color w:val="5C5650"/>
        </w:rPr>
        <w:t xml:space="preserve"> est-ce que l'encaissement pour le compte de tiers peut</w:t>
      </w:r>
    </w:p>
    <w:p>
      <w:pPr>
        <w:ind w:left="432"/>
      </w:pPr>
      <w:r>
        <w:rPr>
          <w:color w:val="5C5650"/>
        </w:rPr>
        <w:t>se faire sans structure déclarée ? Si non, qu'est-ce qui est le plus urgent — créer la</w:t>
      </w:r>
    </w:p>
    <w:p>
      <w:pPr>
        <w:ind w:left="432"/>
      </w:pPr>
      <w:r>
        <w:rPr>
          <w:color w:val="5C5650"/>
        </w:rPr>
        <w:t>société, ou cesser d'encaisser en attendant et revenir au règlement direct entre client</w:t>
      </w:r>
    </w:p>
    <w:p>
      <w:pPr>
        <w:ind w:left="432"/>
      </w:pPr>
      <w:r>
        <w:rPr>
          <w:color w:val="5C5650"/>
        </w:rPr>
        <w:t>et propriétaire ?</w:t>
      </w:r>
    </w:p>
    <w:p>
      <w:r>
        <w:t>Nous n'avons pas d'avis sur la réponse. Nous avons besoin de la vôtre pour savoir si le produit peut continuer de fonctionner comme il fonctionne.</w:t>
      </w:r>
    </w:p>
    <w:p>
      <w:pPr>
        <w:jc w:val="center"/>
      </w:pPr>
      <w:r>
        <w:rPr>
          <w:color w:val="5C5650"/>
        </w:rPr>
        <w:t>• • •</w:t>
      </w:r>
    </w:p>
    <w:p>
      <w:pPr>
        <w:spacing w:before="320"/>
      </w:pPr>
      <w:r>
        <w:rPr>
          <w:b/>
          <w:color w:val="A34D1F"/>
          <w:sz w:val="26"/>
        </w:rPr>
        <w:t>4. Règles nouvelles depuis le 18 août, qui touchent les textes existants</w:t>
      </w:r>
    </w:p>
    <w:p>
      <w:r>
        <w:rPr>
          <w:b/>
        </w:rPr>
        <w:t>Annulation automatique sous 24 heures.</w:t>
      </w:r>
      <w:r>
        <w:t xml:space="preserve"> Une demande de réservation à laquelle le propriétaire n'a pas répondu dans les 24 heures s'annule d'elle-même. Il n'y a rien à rembourser : aucun paiement n'intervient avant que le propriétaire ait confirmé. → à mentionner dans la </w:t>
      </w:r>
      <w:r>
        <w:rPr>
          <w:b/>
        </w:rPr>
        <w:t>politique d'annulation</w:t>
      </w:r>
      <w:r>
        <w:t>, qui décrit aujourd'hui uniquement les annulations volontaires.</w:t>
      </w:r>
    </w:p>
    <w:p>
      <w:r>
        <w:rPr>
          <w:b/>
        </w:rPr>
        <w:t>Le numéro du propriétaire n'est plus public.</w:t>
      </w:r>
      <w:r>
        <w:t xml:space="preserve"> Il n'apparaît qu'une fois le séjour engagé — réservation confirmée ou paiement abouti — et le client le découvre sur l'écran de confirmation. Entre-temps, une messagerie interne permet de poser toute question. → le texte actuel laisse entendre que les coordonnées sont accessibles depuis l'annonce.</w:t>
      </w:r>
    </w:p>
    <w:p>
      <w:r>
        <w:rPr>
          <w:b/>
        </w:rPr>
        <w:t>Le retrait d'une annonce en ligne exige un motif écrit</w:t>
      </w:r>
      <w:r>
        <w:t>, transmis au propriétaire et consigné. → utile à mentionner au titre de la modération.</w:t>
      </w:r>
    </w:p>
    <w:p>
      <w:pPr>
        <w:jc w:val="center"/>
      </w:pPr>
      <w:r>
        <w:rPr>
          <w:color w:val="5C5650"/>
        </w:rPr>
        <w:t>• • •</w:t>
      </w:r>
    </w:p>
    <w:p>
      <w:pPr>
        <w:spacing w:before="320"/>
      </w:pPr>
      <w:r>
        <w:rPr>
          <w:b/>
          <w:color w:val="A34D1F"/>
          <w:sz w:val="26"/>
        </w:rPr>
        <w:t>5. Données personnelles nouvelles → politique de confidentialité</w:t>
      </w:r>
    </w:p>
    <w:p>
      <w:r>
        <w:t>Cinq collectes n'existaient pas quand vous avez relu ce document.</w:t>
      </w:r>
    </w:p>
    <w:p>
      <w:r>
        <w:rPr>
          <w:b/>
        </w:rPr>
        <w:t>Le numéro de téléphone est devenu un identifiant de connexion.</w:t>
      </w:r>
      <w:r>
        <w:t xml:space="preserve"> On se connecte indifféremment par adresse électronique ou par numéro. Une forme normalisée du numéro est stockée à cette seule fin, et elle est unique : deux comptes ne peuvent pas partager un numéro.</w:t>
      </w:r>
    </w:p>
    <w:p>
      <w:r>
        <w:rPr>
          <w:b/>
        </w:rPr>
        <w:t>Les messages entre client et propriétaire sont conservés</w:t>
      </w:r>
      <w:r>
        <w:t xml:space="preserve">, rattachés à la réservation. Ils sont lisibles par les deux parties et par l'administration. → </w:t>
      </w:r>
      <w:r>
        <w:rPr>
          <w:b/>
        </w:rPr>
        <w:t>durée de conservation à fixer.</w:t>
      </w:r>
    </w:p>
    <w:p>
      <w:r>
        <w:rPr>
          <w:b/>
        </w:rPr>
        <w:t>Les notifications poussées</w:t>
      </w:r>
      <w:r>
        <w:t xml:space="preserve"> créent un abonnement par navigateur et par appareil (adresse technique du service de notification et clés associées). Le même compte en a autant qu'il a d'appareils. Le réglage est fin : trois canaux — application, SMS, courriel — croisés avec cinq sujets.</w:t>
      </w:r>
    </w:p>
    <w:p>
      <w:r>
        <w:rPr>
          <w:b/>
        </w:rPr>
        <w:t>Un journal d'audit</w:t>
      </w:r>
      <w:r>
        <w:t xml:space="preserve"> enregistre qui a validé, rejeté, retiré ou supprimé, et quand. C'est la seule pièce produisible en cas de litige avec un propriétaire. → </w:t>
      </w:r>
      <w:r>
        <w:rPr>
          <w:b/>
        </w:rPr>
        <w:t>durée de conservation à fixer.</w:t>
      </w:r>
    </w:p>
    <w:p>
      <w:r>
        <w:rPr>
          <w:b/>
        </w:rPr>
        <w:t>La position GPS d'une villa</w:t>
      </w:r>
      <w:r>
        <w:t xml:space="preserve"> peut être enregistrée, à l'initiative du propriétaire.</w:t>
      </w:r>
    </w:p>
    <w:p>
      <w:r>
        <w:t>Pour la boutique, s'ajoutent : destinataire, téléphone, adresse complète et ville de livraison — des données plus précises que ce que la location collecte.</w:t>
      </w:r>
    </w:p>
    <w:p>
      <w:pPr>
        <w:jc w:val="center"/>
      </w:pPr>
      <w:r>
        <w:rPr>
          <w:color w:val="5C5650"/>
        </w:rPr>
        <w:t>• • •</w:t>
      </w:r>
    </w:p>
    <w:p>
      <w:pPr>
        <w:spacing w:before="320"/>
      </w:pPr>
      <w:r>
        <w:rPr>
          <w:b/>
          <w:color w:val="A34D1F"/>
          <w:sz w:val="26"/>
        </w:rPr>
        <w:t>6. Ce qui n'a pas changé</w:t>
      </w:r>
    </w:p>
    <w:p>
      <w:r>
        <w:t>L'encaissement fonctionne comme décrit le 18 août : Wave et Orange Money, par PayDunya, en argent réel. Le remboursement et le reversement restent des gestes manuels.</w:t>
      </w:r>
    </w:p>
    <w:p>
      <w:r>
        <w:t xml:space="preserve">S'ajoute désormais une activité de </w:t>
      </w:r>
      <w:r>
        <w:rPr>
          <w:b/>
        </w:rPr>
        <w:t>vente pour compte propre</w:t>
      </w:r>
      <w:r>
        <w:t xml:space="preserve"> — la boutique — qui n'est pas de même nature que l'encaissement pour compte de tiers et peut appeler d'autres obligations. Les deux coexistent sous la même absence de structure.</w:t>
      </w:r>
    </w:p>
    <w:p>
      <w:pPr>
        <w:jc w:val="center"/>
      </w:pPr>
      <w:r>
        <w:rPr>
          <w:color w:val="5C5650"/>
        </w:rPr>
        <w:t>• • •</w:t>
      </w:r>
    </w:p>
    <w:p>
      <w:pPr>
        <w:spacing w:before="320"/>
      </w:pPr>
      <w:r>
        <w:rPr>
          <w:b/>
          <w:color w:val="A34D1F"/>
          <w:sz w:val="26"/>
        </w:rPr>
        <w:t>7. Documents joints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</w:tcPr>
          <w:p>
            <w:r/>
            <w:r>
              <w:rPr>
                <w:b/>
                <w:color w:val="A34D1F"/>
                <w:sz w:val="20"/>
              </w:rPr>
              <w:t>Fichier</w:t>
            </w:r>
          </w:p>
        </w:tc>
        <w:tc>
          <w:tcPr>
            <w:tcW w:type="dxa" w:w="4709"/>
          </w:tcPr>
          <w:p>
            <w:r/>
            <w:r>
              <w:rPr>
                <w:b/>
                <w:color w:val="A34D1F"/>
                <w:sz w:val="20"/>
              </w:rPr>
              <w:t>État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5C5650"/>
                <w:sz w:val="20"/>
              </w:rPr>
              <w:t>NOTE-AU-JURISTE.md</w:t>
            </w:r>
            <w:r>
              <w:rPr>
                <w:sz w:val="20"/>
              </w:rPr>
              <w:t xml:space="preserve"> (10 août)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cadre général, toujours utile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5C5650"/>
                <w:sz w:val="20"/>
              </w:rPr>
              <w:t>1-Conditions-generales-utilisation</w:t>
            </w:r>
            <w:r>
              <w:rPr>
                <w:sz w:val="20"/>
              </w:rPr>
              <w:t xml:space="preserve"> (10 août)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relu par vous le 12 août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5C5650"/>
                <w:sz w:val="20"/>
              </w:rPr>
              <w:t>2-Politique-de-confidentialite</w:t>
            </w:r>
            <w:r>
              <w:rPr>
                <w:sz w:val="20"/>
              </w:rPr>
              <w:t xml:space="preserve"> (10 août)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relu — </w:t>
            </w:r>
            <w:r>
              <w:rPr>
                <w:b/>
                <w:sz w:val="20"/>
              </w:rPr>
              <w:t>à reprendre</w:t>
            </w:r>
            <w:r>
              <w:rPr>
                <w:sz w:val="20"/>
              </w:rPr>
              <w:t>, voir § 5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5C5650"/>
                <w:sz w:val="20"/>
              </w:rPr>
              <w:t>3-Politique-d-annulation</w:t>
            </w:r>
            <w:r>
              <w:rPr>
                <w:sz w:val="20"/>
              </w:rPr>
              <w:t xml:space="preserve"> (10 août)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relu — </w:t>
            </w:r>
            <w:r>
              <w:rPr>
                <w:b/>
                <w:sz w:val="20"/>
              </w:rPr>
              <w:t>à reprendre</w:t>
            </w:r>
            <w:r>
              <w:rPr>
                <w:sz w:val="20"/>
              </w:rPr>
              <w:t>, voir § 4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5C5650"/>
                <w:sz w:val="20"/>
              </w:rPr>
              <w:t>4-Mentions-legales</w:t>
            </w:r>
            <w:r>
              <w:rPr>
                <w:sz w:val="20"/>
              </w:rPr>
              <w:t xml:space="preserve"> (10 août)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relu — bloqué sur la raison sociale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5C5650"/>
                <w:sz w:val="20"/>
              </w:rPr>
              <w:t>NOTE-AU-JURISTE-v2.md</w:t>
            </w:r>
            <w:r>
              <w:rPr>
                <w:sz w:val="20"/>
              </w:rPr>
              <w:t xml:space="preserve"> (18 août)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 tableau de commission y est faux</w:t>
            </w:r>
            <w:r>
              <w:rPr>
                <w:sz w:val="20"/>
              </w:rPr>
              <w:t>, voir § 1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5C5650"/>
                <w:sz w:val="20"/>
              </w:rPr>
              <w:t>1-Conditions-generales-utilisation-v2</w:t>
            </w:r>
            <w:r>
              <w:rPr>
                <w:sz w:val="20"/>
              </w:rPr>
              <w:t xml:space="preserve"> (18 août)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soumis, non validé</w:t>
            </w:r>
          </w:p>
        </w:tc>
      </w:tr>
      <w:tr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cette note</w:t>
            </w:r>
            <w:r>
              <w:rPr>
                <w:sz w:val="20"/>
              </w:rPr>
              <w:t xml:space="preserve"> (22 août)</w:t>
            </w:r>
          </w:p>
        </w:tc>
        <w:tc>
          <w:tcPr>
            <w:tcW w:type="dxa" w:w="4709"/>
          </w:tcPr>
          <w:p>
            <w:r>
              <w:rPr>
                <w:sz w:val="20"/>
              </w:rPr>
            </w:r>
            <w:r>
              <w:rPr>
                <w:sz w:val="20"/>
              </w:rPr>
              <w:t>ce qui a changé depuis</w:t>
            </w:r>
          </w:p>
        </w:tc>
      </w:tr>
    </w:tbl>
    <w:p/>
    <w:p>
      <w:r>
        <w:rPr>
          <w:b/>
        </w:rPr>
        <w:t>Manquant, et à créer : des conditions générales de vente pour la boutique.</w:t>
      </w:r>
      <w:r>
        <w:t xml:space="preserve"> Nous n'avons pas de trame à vous proposer — c'est un texte de nature différente des quatre autres, et nous préférons ne rien inventer.</w:t>
      </w:r>
    </w:p>
    <w:p>
      <w:pPr>
        <w:jc w:val="center"/>
      </w:pPr>
      <w:r>
        <w:rPr>
          <w:color w:val="5C5650"/>
        </w:rPr>
        <w:t>• • •</w:t>
      </w:r>
    </w:p>
    <w:p>
      <w:r>
        <w:t>*Les passages surlignés dans les documents Word sont des informations d'entreprise à renseigner. Merci de retourner les fichiers annotés ou corrigés : la version validée sera intégrée telle quelle au site, sans reformulation.*</w:t>
      </w:r>
    </w:p>
    <w:sectPr w:rsidR="00FC693F" w:rsidRPr="0006063C" w:rsidSect="00034616">
      <w:pgSz w:w="12240" w:h="15840"/>
      <w:pgMar w:top="1253" w:right="1411" w:bottom="1253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Calibri" w:hAnsi="Calibri"/>
      <w:color w:val="1A16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