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34D1F"/>
          <w:sz w:val="26"/>
        </w:rPr>
        <w:t>PasseTemps</w:t>
      </w:r>
    </w:p>
    <w:p>
      <w:r>
        <w:rPr>
          <w:color w:val="5C5650"/>
          <w:sz w:val="18"/>
        </w:rPr>
        <w:t>anciennement Ma Villa · hébergements et artisanat — Sénégal</w:t>
      </w:r>
    </w:p>
    <w:p>
      <w:pPr>
        <w:spacing w:before="200"/>
      </w:pPr>
      <w:r>
        <w:rPr>
          <w:b/>
          <w:color w:val="1A1614"/>
          <w:sz w:val="36"/>
        </w:rPr>
        <w:t>Note au juriste — version 4</w:t>
      </w:r>
    </w:p>
    <w:p>
      <w:r>
        <w:t>1er septembre 2026. Fait suite aux notes du 10 août, du 18 août et du 22 août.</w:t>
      </w:r>
    </w:p>
    <w:p>
      <w:r>
        <w:rPr>
          <w:b/>
        </w:rPr>
        <w:t>Objet.</w:t>
      </w:r>
      <w:r>
        <w:t xml:space="preserve"> Quatre changements depuis la note du 22 août, et une question qui devient urgente.</w:t>
      </w:r>
    </w:p>
    <w:p>
      <w:pPr>
        <w:pStyle w:val="ListNumber"/>
      </w:pPr>
      <w:r>
        <w:rPr>
          <w:b/>
        </w:rPr>
        <w:t>La plateforme a changé de nom.</w:t>
      </w:r>
      <w:r>
        <w:t xml:space="preserve"> « Ma Villa » est devenu </w:t>
      </w:r>
      <w:r>
        <w:rPr>
          <w:b/>
        </w:rPr>
        <w:t>PasseTemps</w:t>
      </w:r>
      <w:r>
        <w:t xml:space="preserve">, et le service est désormais servi sur son propre domaine, </w:t>
      </w:r>
      <w:r>
        <w:rPr>
          <w:rFonts w:ascii="Consolas" w:hAnsi="Consolas"/>
          <w:color w:val="5C5650"/>
          <w:sz w:val="19"/>
        </w:rPr>
        <w:t>passetemps.sn</w:t>
      </w:r>
      <w:r>
        <w:t>. Les quatre documents que vous avez relus nomment tous l'ancien.</w:t>
      </w:r>
    </w:p>
    <w:p>
      <w:pPr>
        <w:pStyle w:val="ListNumber"/>
      </w:pPr>
      <w:r>
        <w:rPr>
          <w:b/>
        </w:rPr>
        <w:t>Votre question du 18 août sur la commission en cas de remboursement a reçu une réponse de l'exploitant</w:t>
      </w:r>
      <w:r>
        <w:t xml:space="preserve"> — et cette réponse s'accompagne d'un barème d'annulation qui n'existait pas. Il </w:t>
      </w:r>
      <w:r>
        <w:rPr>
          <w:b/>
        </w:rPr>
        <w:t>est appliqué</w:t>
      </w:r>
      <w:r>
        <w:t xml:space="preserve"> depuis aujourd'hui et </w:t>
      </w:r>
      <w:r>
        <w:rPr>
          <w:b/>
        </w:rPr>
        <w:t>n'est publié nulle part</w:t>
      </w:r>
      <w:r>
        <w:t>. C'est le point qui appelle votre validation en priorité (§ 2).</w:t>
      </w:r>
    </w:p>
    <w:p>
      <w:pPr>
        <w:pStyle w:val="ListNumber"/>
      </w:pPr>
      <w:r>
        <w:rPr>
          <w:b/>
        </w:rPr>
        <w:t>Un client qui a payé ne peut plus annuler seul.</w:t>
      </w:r>
      <w:r>
        <w:t xml:space="preserve"> Sa demande est instruite par PasseTemps. C'est un changement de nature contractuelle, pas une commodité d'interface.</w:t>
      </w:r>
    </w:p>
    <w:p>
      <w:pPr>
        <w:pStyle w:val="ListNumber"/>
      </w:pPr>
      <w:r>
        <w:rPr>
          <w:b/>
        </w:rPr>
        <w:t>La plateforme est ouverte au public</w:t>
      </w:r>
      <w:r>
        <w:t xml:space="preserve"> depuis le 1er septembre, sur un vrai nom de domaine, avec l'encaissement réel actif. Le § 3 de la note du 22 août — l'absence de toute structure déclarée alors que la plateforme détient des fonds de tiers — cesse d'être une question de principe.</w:t>
      </w:r>
    </w:p>
    <w:p>
      <w:r>
        <w:t>Ce document décrit ce que le logiciel fait réellement au 1er septembre 2026. Il n'a pas valeur d'avis juridique et n'est pas destiné à être publié.</w:t>
      </w:r>
    </w:p>
    <w:p>
      <w:pPr>
        <w:jc w:val="center"/>
      </w:pPr>
      <w:r>
        <w:rPr>
          <w:color w:val="5C5650"/>
        </w:rPr>
        <w:t>• • •</w:t>
      </w:r>
    </w:p>
    <w:p>
      <w:pPr>
        <w:spacing w:before="320"/>
      </w:pPr>
      <w:r>
        <w:rPr>
          <w:b/>
          <w:color w:val="A34D1F"/>
          <w:sz w:val="26"/>
        </w:rPr>
        <w:t>1. Le changement de nom — à répercuter partout</w:t>
      </w:r>
    </w:p>
    <w:p>
      <w:r>
        <w:rPr>
          <w:b/>
        </w:rPr>
        <w:t>« Ma Villa » n'existe plus. Le service s'appelle PasseTemps.</w:t>
      </w:r>
    </w:p>
    <w:p>
      <w:r>
        <w:t>La raison est de fond et non d'image : le catalogue ne contient pas que des villas — résidences, appartements, chambres, et une boutique d'artisanat — et un nom qui promet des villas contredit ce qu'on vend. Le changement est effectif dans toute l'application.</w:t>
      </w:r>
    </w:p>
    <w:tbl>
      <w:tblPr>
        <w:tblStyle w:val="TableGrid"/>
        <w:tblW w:type="auto" w:w="0"/>
        <w:tblLook w:firstColumn="1" w:firstRow="1" w:lastColumn="0" w:lastRow="0" w:noHBand="0" w:noVBand="1" w:val="04A0"/>
      </w:tblPr>
      <w:tblGrid>
        <w:gridCol w:w="4709"/>
        <w:gridCol w:w="4709"/>
      </w:tblGrid>
      <w:tr>
        <w:tc>
          <w:tcPr>
            <w:tcW w:type="dxa" w:w="4709"/>
          </w:tcPr>
          <w:p>
            <w:r/>
            <w:r>
              <w:rPr>
                <w:b/>
                <w:color w:val="A34D1F"/>
                <w:sz w:val="20"/>
              </w:rPr>
            </w:r>
          </w:p>
        </w:tc>
        <w:tc>
          <w:tcPr>
            <w:tcW w:type="dxa" w:w="4709"/>
          </w:tcPr>
          <w:p>
            <w:r/>
            <w:r>
              <w:rPr>
                <w:b/>
                <w:color w:val="A34D1F"/>
                <w:sz w:val="20"/>
              </w:rPr>
            </w:r>
          </w:p>
        </w:tc>
      </w:tr>
      <w:tr>
        <w:tc>
          <w:tcPr>
            <w:tcW w:type="dxa" w:w="4709"/>
          </w:tcPr>
          <w:p>
            <w:r>
              <w:rPr>
                <w:sz w:val="20"/>
              </w:rPr>
            </w:r>
            <w:r>
              <w:rPr>
                <w:b/>
                <w:sz w:val="20"/>
              </w:rPr>
              <w:t>Nom du service</w:t>
            </w:r>
          </w:p>
        </w:tc>
        <w:tc>
          <w:tcPr>
            <w:tcW w:type="dxa" w:w="4709"/>
          </w:tcPr>
          <w:p>
            <w:r>
              <w:rPr>
                <w:sz w:val="20"/>
              </w:rPr>
            </w:r>
            <w:r>
              <w:rPr>
                <w:sz w:val="20"/>
              </w:rPr>
              <w:t>PasseTemps</w:t>
            </w:r>
          </w:p>
        </w:tc>
      </w:tr>
      <w:tr>
        <w:tc>
          <w:tcPr>
            <w:tcW w:type="dxa" w:w="4709"/>
          </w:tcPr>
          <w:p>
            <w:r>
              <w:rPr>
                <w:sz w:val="20"/>
              </w:rPr>
            </w:r>
            <w:r>
              <w:rPr>
                <w:b/>
                <w:sz w:val="20"/>
              </w:rPr>
              <w:t>Domaine</w:t>
            </w:r>
          </w:p>
        </w:tc>
        <w:tc>
          <w:tcPr>
            <w:tcW w:type="dxa" w:w="4709"/>
          </w:tcPr>
          <w:p>
            <w:r>
              <w:rPr>
                <w:sz w:val="20"/>
              </w:rPr>
            </w:r>
            <w:r>
              <w:rPr>
                <w:rFonts w:ascii="Consolas" w:hAnsi="Consolas"/>
                <w:color w:val="5C5650"/>
                <w:sz w:val="20"/>
              </w:rPr>
              <w:t>passetemps.sn</w:t>
            </w:r>
            <w:r>
              <w:rPr>
                <w:sz w:val="20"/>
              </w:rPr>
              <w:t xml:space="preserve"> — acheté et en service</w:t>
            </w:r>
          </w:p>
        </w:tc>
      </w:tr>
      <w:tr>
        <w:tc>
          <w:tcPr>
            <w:tcW w:type="dxa" w:w="4709"/>
          </w:tcPr>
          <w:p>
            <w:r>
              <w:rPr>
                <w:sz w:val="20"/>
              </w:rPr>
            </w:r>
            <w:r>
              <w:rPr>
                <w:b/>
                <w:sz w:val="20"/>
              </w:rPr>
              <w:t>Adresse de contact publiée</w:t>
            </w:r>
          </w:p>
        </w:tc>
        <w:tc>
          <w:tcPr>
            <w:tcW w:type="dxa" w:w="4709"/>
          </w:tcPr>
          <w:p>
            <w:r>
              <w:rPr>
                <w:sz w:val="20"/>
              </w:rPr>
            </w:r>
            <w:r>
              <w:rPr>
                <w:rFonts w:ascii="Consolas" w:hAnsi="Consolas"/>
                <w:color w:val="5C5650"/>
                <w:sz w:val="20"/>
              </w:rPr>
              <w:t>contactsmavilla@gmail.com</w:t>
            </w:r>
            <w:r>
              <w:rPr>
                <w:sz w:val="20"/>
              </w:rPr>
              <w:t xml:space="preserve"> — </w:t>
            </w:r>
            <w:r>
              <w:rPr>
                <w:b/>
                <w:sz w:val="20"/>
              </w:rPr>
              <w:t>inchangée</w:t>
            </w:r>
            <w:r>
              <w:rPr>
                <w:sz w:val="20"/>
              </w:rPr>
              <w:t>, voir ci-dessous</w:t>
            </w:r>
          </w:p>
        </w:tc>
      </w:tr>
    </w:tbl>
    <w:p/>
    <w:p>
      <w:pPr>
        <w:ind w:left="432"/>
      </w:pPr>
      <w:r>
        <w:rPr>
          <w:b/>
          <w:color w:val="5C5650"/>
        </w:rPr>
        <w:t>Ce que nous vous demandons :</w:t>
      </w:r>
      <w:r>
        <w:rPr>
          <w:color w:val="5C5650"/>
        </w:rPr>
        <w:t xml:space="preserve"> remplacer « Ma Villa » par « PasseTemps » dans les</w:t>
      </w:r>
    </w:p>
    <w:p>
      <w:pPr>
        <w:ind w:left="432"/>
      </w:pPr>
      <w:r>
        <w:rPr>
          <w:color w:val="5C5650"/>
        </w:rPr>
        <w:t>quatre documents. Nous ne l'avons pas fait nous-mêmes dans les fichiers Word pour ne</w:t>
      </w:r>
    </w:p>
    <w:p>
      <w:pPr>
        <w:ind w:left="432"/>
      </w:pPr>
      <w:r>
        <w:rPr>
          <w:color w:val="5C5650"/>
        </w:rPr>
        <w:t>pas toucher à un texte que vous avez relu.</w:t>
      </w:r>
    </w:p>
    <w:p>
      <w:r>
        <w:t xml:space="preserve">⚠️ </w:t>
      </w:r>
      <w:r>
        <w:rPr>
          <w:b/>
        </w:rPr>
        <w:t>L'adresse de contact reste `contactsmavilla@gmail.com`</w:t>
      </w:r>
      <w:r>
        <w:t xml:space="preserve">, alors même que le domaine a changé. Ce n'est pas un oubli : </w:t>
      </w:r>
      <w:r>
        <w:rPr>
          <w:rFonts w:ascii="Consolas" w:hAnsi="Consolas"/>
          <w:color w:val="5C5650"/>
          <w:sz w:val="19"/>
        </w:rPr>
        <w:t>passetemps.sn</w:t>
      </w:r>
      <w:r>
        <w:t xml:space="preserve"> peut </w:t>
      </w:r>
      <w:r>
        <w:rPr>
          <w:b/>
        </w:rPr>
        <w:t>envoyer</w:t>
      </w:r>
      <w:r>
        <w:t xml:space="preserve"> du courrier mais ne peut pas en </w:t>
      </w:r>
      <w:r>
        <w:rPr>
          <w:b/>
        </w:rPr>
        <w:t>recevoir</w:t>
      </w:r>
      <w:r>
        <w:t xml:space="preserve"> — aucune boîte n'y est configurée. Publier </w:t>
      </w:r>
      <w:r>
        <w:rPr>
          <w:rFonts w:ascii="Consolas" w:hAnsi="Consolas"/>
          <w:color w:val="5C5650"/>
          <w:sz w:val="19"/>
        </w:rPr>
        <w:t>contact@passetemps.sn</w:t>
      </w:r>
      <w:r>
        <w:t xml:space="preserve"> créerait une adresse de contact qui n'aboutit nulle part, ce qui est pire que pas d'adresse du tout. Si un texte réglementaire impose une adresse au domaine du site, dites-le-nous : il faudra alors ouvrir la boîte avant de le publier.</w:t>
      </w:r>
    </w:p>
    <w:p>
      <w:pPr>
        <w:jc w:val="center"/>
      </w:pPr>
      <w:r>
        <w:rPr>
          <w:color w:val="5C5650"/>
        </w:rPr>
        <w:t>• • •</w:t>
      </w:r>
    </w:p>
    <w:p>
      <w:pPr>
        <w:spacing w:before="320"/>
      </w:pPr>
      <w:r>
        <w:rPr>
          <w:b/>
          <w:color w:val="A34D1F"/>
          <w:sz w:val="26"/>
        </w:rPr>
        <w:t>2. Le point central — le remboursement, et le barème d'annulation</w:t>
      </w:r>
    </w:p>
    <w:p>
      <w:pPr>
        <w:spacing w:before="220"/>
      </w:pPr>
      <w:r>
        <w:rPr>
          <w:b/>
          <w:color w:val="1A1614"/>
          <w:sz w:val="23"/>
        </w:rPr>
        <w:t>Votre question du 18 août, § 7</w:t>
      </w:r>
    </w:p>
    <w:p>
      <w:r>
        <w:t xml:space="preserve">Vous demandiez : *la commission est-elle restituée en cas de remboursement intégral ?* Elle est restée ouverte dans la note du 22 août. </w:t>
      </w:r>
      <w:r>
        <w:rPr>
          <w:b/>
        </w:rPr>
        <w:t>L'exploitant a tranché le 1er septembre</w:t>
      </w:r>
      <w:r>
        <w:t>, et la règle est en service depuis ce jour.</w:t>
      </w:r>
    </w:p>
    <w:p>
      <w:r>
        <w:rPr>
          <w:b/>
        </w:rPr>
        <w:t>La réponse dépend de la cause de l'annulation</w:t>
      </w:r>
      <w:r>
        <w:t>, et c'est le seul critère :</w:t>
      </w:r>
    </w:p>
    <w:tbl>
      <w:tblPr>
        <w:tblStyle w:val="TableGrid"/>
        <w:tblW w:type="auto" w:w="0"/>
        <w:tblLook w:firstColumn="1" w:firstRow="1" w:lastColumn="0" w:lastRow="0" w:noHBand="0" w:noVBand="1" w:val="04A0"/>
      </w:tblPr>
      <w:tblGrid>
        <w:gridCol w:w="4709"/>
        <w:gridCol w:w="4709"/>
      </w:tblGrid>
      <w:tr>
        <w:tc>
          <w:tcPr>
            <w:tcW w:type="dxa" w:w="4709"/>
          </w:tcPr>
          <w:p>
            <w:r/>
            <w:r>
              <w:rPr>
                <w:b/>
                <w:color w:val="A34D1F"/>
                <w:sz w:val="20"/>
              </w:rPr>
              <w:t>Qui est à l'origine de l'annulation</w:t>
            </w:r>
          </w:p>
        </w:tc>
        <w:tc>
          <w:tcPr>
            <w:tcW w:type="dxa" w:w="4709"/>
          </w:tcPr>
          <w:p>
            <w:r/>
            <w:r>
              <w:rPr>
                <w:b/>
                <w:color w:val="A34D1F"/>
                <w:sz w:val="20"/>
              </w:rPr>
              <w:t>Ce que le client récupère</w:t>
            </w:r>
          </w:p>
        </w:tc>
      </w:tr>
      <w:tr>
        <w:tc>
          <w:tcPr>
            <w:tcW w:type="dxa" w:w="4709"/>
          </w:tcPr>
          <w:p>
            <w:r>
              <w:rPr>
                <w:sz w:val="20"/>
              </w:rPr>
            </w:r>
            <w:r>
              <w:rPr>
                <w:b/>
                <w:sz w:val="20"/>
              </w:rPr>
              <w:t>PasseTemps</w:t>
            </w:r>
            <w:r>
              <w:rPr>
                <w:sz w:val="20"/>
              </w:rPr>
              <w:t xml:space="preserve"> (défaillance du service)</w:t>
            </w:r>
          </w:p>
        </w:tc>
        <w:tc>
          <w:tcPr>
            <w:tcW w:type="dxa" w:w="4709"/>
          </w:tcPr>
          <w:p>
            <w:r>
              <w:rPr>
                <w:sz w:val="20"/>
              </w:rPr>
            </w:r>
            <w:r>
              <w:rPr>
                <w:sz w:val="20"/>
              </w:rPr>
              <w:t xml:space="preserve">la totalité, </w:t>
            </w:r>
            <w:r>
              <w:rPr>
                <w:b/>
                <w:sz w:val="20"/>
              </w:rPr>
              <w:t>commission comprise</w:t>
            </w:r>
          </w:p>
        </w:tc>
      </w:tr>
      <w:tr>
        <w:tc>
          <w:tcPr>
            <w:tcW w:type="dxa" w:w="4709"/>
          </w:tcPr>
          <w:p>
            <w:r>
              <w:rPr>
                <w:sz w:val="20"/>
              </w:rPr>
            </w:r>
            <w:r>
              <w:rPr>
                <w:b/>
                <w:sz w:val="20"/>
              </w:rPr>
              <w:t>Le propriétaire</w:t>
            </w:r>
            <w:r>
              <w:rPr>
                <w:sz w:val="20"/>
              </w:rPr>
              <w:t xml:space="preserve"> (logement indisponible, injoignable)</w:t>
            </w:r>
          </w:p>
        </w:tc>
        <w:tc>
          <w:tcPr>
            <w:tcW w:type="dxa" w:w="4709"/>
          </w:tcPr>
          <w:p>
            <w:r>
              <w:rPr>
                <w:sz w:val="20"/>
              </w:rPr>
            </w:r>
            <w:r>
              <w:rPr>
                <w:sz w:val="20"/>
              </w:rPr>
              <w:t xml:space="preserve">la totalité, </w:t>
            </w:r>
            <w:r>
              <w:rPr>
                <w:b/>
                <w:sz w:val="20"/>
              </w:rPr>
              <w:t>commission comprise</w:t>
            </w:r>
          </w:p>
        </w:tc>
      </w:tr>
      <w:tr>
        <w:tc>
          <w:tcPr>
            <w:tcW w:type="dxa" w:w="4709"/>
          </w:tcPr>
          <w:p>
            <w:r>
              <w:rPr>
                <w:sz w:val="20"/>
              </w:rPr>
            </w:r>
            <w:r>
              <w:rPr>
                <w:b/>
                <w:sz w:val="20"/>
              </w:rPr>
              <w:t>Le client</w:t>
            </w:r>
            <w:r>
              <w:rPr>
                <w:sz w:val="20"/>
              </w:rPr>
              <w:t xml:space="preserve"> (il renonce)</w:t>
            </w:r>
          </w:p>
        </w:tc>
        <w:tc>
          <w:tcPr>
            <w:tcW w:type="dxa" w:w="4709"/>
          </w:tcPr>
          <w:p>
            <w:r>
              <w:rPr>
                <w:sz w:val="20"/>
              </w:rPr>
            </w:r>
            <w:r>
              <w:rPr>
                <w:sz w:val="20"/>
              </w:rPr>
              <w:t xml:space="preserve">un barème s'applique </w:t>
            </w:r>
            <w:r>
              <w:rPr>
                <w:b/>
                <w:sz w:val="20"/>
              </w:rPr>
              <w:t>sur sa part seulement</w:t>
            </w:r>
            <w:r>
              <w:rPr>
                <w:sz w:val="20"/>
              </w:rPr>
              <w:t xml:space="preserve"> ; la commission reste acquise</w:t>
            </w:r>
          </w:p>
        </w:tc>
      </w:tr>
    </w:tbl>
    <w:p/>
    <w:p>
      <w:r>
        <w:t>Le raisonnement de l'exploitant, que nous vous transmettons tel quel : retenir une commission sur un séjour qu'on n'a pas su fournir n'est pas défendable ; en revanche, lorsque le client renonce, la mise en relation a bien eu lieu et l'encaissement a coûté des frais que le prestataire de paiement ne restitue pas.</w:t>
      </w:r>
    </w:p>
    <w:p>
      <w:pPr>
        <w:spacing w:before="220"/>
      </w:pPr>
      <w:r>
        <w:rPr>
          <w:b/>
          <w:color w:val="1A1614"/>
          <w:sz w:val="23"/>
        </w:rPr>
        <w:t>Le barème, quand le client renonce</w:t>
      </w:r>
    </w:p>
    <w:tbl>
      <w:tblPr>
        <w:tblStyle w:val="TableGrid"/>
        <w:tblW w:type="auto" w:w="0"/>
        <w:tblLook w:firstColumn="1" w:firstRow="1" w:lastColumn="0" w:lastRow="0" w:noHBand="0" w:noVBand="1" w:val="04A0"/>
      </w:tblPr>
      <w:tblGrid>
        <w:gridCol w:w="4709"/>
        <w:gridCol w:w="4709"/>
      </w:tblGrid>
      <w:tr>
        <w:tc>
          <w:tcPr>
            <w:tcW w:type="dxa" w:w="4709"/>
          </w:tcPr>
          <w:p>
            <w:r/>
            <w:r>
              <w:rPr>
                <w:b/>
                <w:color w:val="A34D1F"/>
                <w:sz w:val="20"/>
              </w:rPr>
              <w:t>Délai entre la demande et la date d'arrivée</w:t>
            </w:r>
          </w:p>
        </w:tc>
        <w:tc>
          <w:tcPr>
            <w:tcW w:type="dxa" w:w="4709"/>
          </w:tcPr>
          <w:p>
            <w:r/>
            <w:r>
              <w:rPr>
                <w:b/>
                <w:color w:val="A34D1F"/>
                <w:sz w:val="20"/>
              </w:rPr>
              <w:t>Part de sa quote-part qui lui est rendue</w:t>
            </w:r>
          </w:p>
        </w:tc>
      </w:tr>
      <w:tr>
        <w:tc>
          <w:tcPr>
            <w:tcW w:type="dxa" w:w="4709"/>
          </w:tcPr>
          <w:p>
            <w:r>
              <w:rPr>
                <w:sz w:val="20"/>
              </w:rPr>
            </w:r>
            <w:r>
              <w:rPr>
                <w:b/>
                <w:sz w:val="20"/>
              </w:rPr>
              <w:t>7 jours ou plus</w:t>
            </w:r>
          </w:p>
        </w:tc>
        <w:tc>
          <w:tcPr>
            <w:tcW w:type="dxa" w:w="4709"/>
          </w:tcPr>
          <w:p>
            <w:r>
              <w:rPr>
                <w:sz w:val="20"/>
              </w:rPr>
            </w:r>
            <w:r>
              <w:rPr>
                <w:sz w:val="20"/>
              </w:rPr>
              <w:t>100 %</w:t>
            </w:r>
          </w:p>
        </w:tc>
      </w:tr>
      <w:tr>
        <w:tc>
          <w:tcPr>
            <w:tcW w:type="dxa" w:w="4709"/>
          </w:tcPr>
          <w:p>
            <w:r>
              <w:rPr>
                <w:sz w:val="20"/>
              </w:rPr>
            </w:r>
            <w:r>
              <w:rPr>
                <w:b/>
                <w:sz w:val="20"/>
              </w:rPr>
              <w:t>de 2 à 6 jours</w:t>
            </w:r>
          </w:p>
        </w:tc>
        <w:tc>
          <w:tcPr>
            <w:tcW w:type="dxa" w:w="4709"/>
          </w:tcPr>
          <w:p>
            <w:r>
              <w:rPr>
                <w:sz w:val="20"/>
              </w:rPr>
            </w:r>
            <w:r>
              <w:rPr>
                <w:sz w:val="20"/>
              </w:rPr>
              <w:t>50 %</w:t>
            </w:r>
          </w:p>
        </w:tc>
      </w:tr>
      <w:tr>
        <w:tc>
          <w:tcPr>
            <w:tcW w:type="dxa" w:w="4709"/>
          </w:tcPr>
          <w:p>
            <w:r>
              <w:rPr>
                <w:sz w:val="20"/>
              </w:rPr>
            </w:r>
            <w:r>
              <w:rPr>
                <w:b/>
                <w:sz w:val="20"/>
              </w:rPr>
              <w:t>moins de 48 heures</w:t>
            </w:r>
          </w:p>
        </w:tc>
        <w:tc>
          <w:tcPr>
            <w:tcW w:type="dxa" w:w="4709"/>
          </w:tcPr>
          <w:p>
            <w:r>
              <w:rPr>
                <w:sz w:val="20"/>
              </w:rPr>
            </w:r>
            <w:r>
              <w:rPr>
                <w:sz w:val="20"/>
              </w:rPr>
              <w:t>0 %</w:t>
            </w:r>
          </w:p>
        </w:tc>
      </w:tr>
    </w:tbl>
    <w:p/>
    <w:p>
      <w:r>
        <w:t>Deux précisions qui comptent pour la rédaction :</w:t>
      </w:r>
    </w:p>
    <w:p>
      <w:pPr>
        <w:pStyle w:val="ListBullet"/>
      </w:pPr>
      <w:r>
        <w:rPr>
          <w:b/>
        </w:rPr>
        <w:t>le barème porte sur la part du client, pas sur ce qu'il a payé.</w:t>
      </w:r>
      <w:r>
        <w:t xml:space="preserve"> Sur une réservation de 100 000 FCFA, la commission est de 15 000 (voir § 4) ; la part concernée est donc de 85 000, et un désistement à trois jours rend 42 500 FCFA, non 50 000 ;</w:t>
      </w:r>
    </w:p>
    <w:p>
      <w:pPr>
        <w:pStyle w:val="ListBullet"/>
      </w:pPr>
      <w:r>
        <w:rPr>
          <w:b/>
        </w:rPr>
        <w:t>le barème propose, il ne décide pas.</w:t>
      </w:r>
      <w:r>
        <w:t xml:space="preserve"> Le montant reste modifiable par l'exploitant au cas par cas. Nous l'avons voulu ainsi : une règle qu'on ne peut pas assouplir se contourne hors du logiciel, donc sans trace.</w:t>
      </w:r>
    </w:p>
    <w:p>
      <w:pPr>
        <w:spacing w:before="220"/>
      </w:pPr>
      <w:r>
        <w:rPr>
          <w:b/>
          <w:color w:val="1A1614"/>
          <w:sz w:val="23"/>
        </w:rPr>
        <w:t>⚠️ Ce barème n'est publié nulle part, et c'est délibéré</w:t>
      </w:r>
    </w:p>
    <w:p>
      <w:r>
        <w:t xml:space="preserve">La page publique « Annulation et remboursement » </w:t>
      </w:r>
      <w:r>
        <w:rPr>
          <w:b/>
        </w:rPr>
        <w:t>ne l'annonce pas</w:t>
      </w:r>
      <w:r>
        <w:t>. Elle dit, depuis aujourd'hui, trois choses seulement :</w:t>
      </w:r>
    </w:p>
    <w:p>
      <w:pPr>
        <w:pStyle w:val="ListBullet"/>
      </w:pPr>
      <w:r>
        <w:t>qu'aucun barème contractuel n'est publié, la rédaction étant confiée à un juriste ;</w:t>
      </w:r>
    </w:p>
    <w:p>
      <w:pPr>
        <w:pStyle w:val="ListBullet"/>
      </w:pPr>
      <w:r>
        <w:t xml:space="preserve">que deux éléments pèsent sur la décision : </w:t>
      </w:r>
      <w:r>
        <w:rPr>
          <w:b/>
        </w:rPr>
        <w:t>qui est à l'origine</w:t>
      </w:r>
      <w:r>
        <w:t xml:space="preserve"> de l'annulation, et</w:t>
      </w:r>
    </w:p>
    <w:p>
      <w:r>
        <w:t xml:space="preserve">  </w:t>
      </w:r>
      <w:r>
        <w:rPr>
          <w:b/>
        </w:rPr>
        <w:t>le délai avant l'arrivée</w:t>
      </w:r>
      <w:r>
        <w:t xml:space="preserve"> ;</w:t>
      </w:r>
    </w:p>
    <w:p>
      <w:pPr>
        <w:pStyle w:val="ListBullet"/>
      </w:pPr>
      <w:r>
        <w:t>qu'une annulation imputable à PasseTemps ou au propriétaire donne lieu à un remboursement intégral.</w:t>
      </w:r>
    </w:p>
    <w:p>
      <w:r>
        <w:t>Nous n'allons pas plus loin sans vous. Annoncer des pourcentages, c'est prendre un engagement contractuel ; les corriger ensuite serait exactement l'erreur commise le 18 août avec la phrase « la plateforme n'encaisse aucun paiement ».</w:t>
      </w:r>
    </w:p>
    <w:p>
      <w:pPr>
        <w:ind w:left="432"/>
      </w:pPr>
      <w:r>
        <w:rPr>
          <w:b/>
          <w:color w:val="5C5650"/>
        </w:rPr>
        <w:t>Ce que nous vous demandons :</w:t>
      </w:r>
    </w:p>
    <w:p>
      <w:r>
        <w:t>&gt;</w:t>
      </w:r>
    </w:p>
    <w:p>
      <w:pPr>
        <w:ind w:left="432"/>
      </w:pPr>
      <w:r>
        <w:rPr>
          <w:color w:val="5C5650"/>
        </w:rPr>
        <w:t xml:space="preserve">1. </w:t>
      </w:r>
      <w:r>
        <w:rPr>
          <w:b/>
          <w:color w:val="5C5650"/>
        </w:rPr>
        <w:t>Ce barème est-il licite en l'état ?</w:t>
      </w:r>
      <w:r>
        <w:rPr>
          <w:color w:val="5C5650"/>
        </w:rPr>
        <w:t xml:space="preserve"> Un délai de 48 heures qui aboutit à ne rien</w:t>
      </w:r>
    </w:p>
    <w:p>
      <w:pPr>
        <w:ind w:left="432"/>
      </w:pPr>
      <w:r>
        <w:rPr>
          <w:color w:val="5C5650"/>
        </w:rPr>
        <w:t xml:space="preserve">   rendre est-il opposable à un consommateur au Sénégal ?</w:t>
      </w:r>
    </w:p>
    <w:p>
      <w:pPr>
        <w:ind w:left="432"/>
      </w:pPr>
      <w:r>
        <w:rPr>
          <w:color w:val="5C5650"/>
        </w:rPr>
        <w:t xml:space="preserve">2. </w:t>
      </w:r>
      <w:r>
        <w:rPr>
          <w:b/>
          <w:color w:val="5C5650"/>
        </w:rPr>
        <w:t>La distinction selon la cause tient-elle ?</w:t>
      </w:r>
      <w:r>
        <w:rPr>
          <w:color w:val="5C5650"/>
        </w:rPr>
        <w:t xml:space="preserve"> Rendre la commission quand la faute</w:t>
      </w:r>
    </w:p>
    <w:p>
      <w:pPr>
        <w:ind w:left="432"/>
      </w:pPr>
      <w:r>
        <w:rPr>
          <w:color w:val="5C5650"/>
        </w:rPr>
        <w:t xml:space="preserve">   vient de nous et la conserver quand le client renonce — est-ce défendable, et</w:t>
      </w:r>
    </w:p>
    <w:p>
      <w:pPr>
        <w:ind w:left="432"/>
      </w:pPr>
      <w:r>
        <w:rPr>
          <w:color w:val="5C5650"/>
        </w:rPr>
        <w:t xml:space="preserve">   faut-il l'écrire ainsi ?</w:t>
      </w:r>
    </w:p>
    <w:p>
      <w:pPr>
        <w:ind w:left="432"/>
      </w:pPr>
      <w:r>
        <w:rPr>
          <w:color w:val="5C5650"/>
        </w:rPr>
        <w:t xml:space="preserve">3. </w:t>
      </w:r>
      <w:r>
        <w:rPr>
          <w:b/>
          <w:color w:val="5C5650"/>
        </w:rPr>
        <w:t>Peut-on garder la faculté de s'écarter du barème</w:t>
      </w:r>
      <w:r>
        <w:rPr>
          <w:color w:val="5C5650"/>
        </w:rPr>
        <w:t xml:space="preserve"> en faveur du client, ou un</w:t>
      </w:r>
    </w:p>
    <w:p>
      <w:pPr>
        <w:ind w:left="432"/>
      </w:pPr>
      <w:r>
        <w:rPr>
          <w:color w:val="5C5650"/>
        </w:rPr>
        <w:t xml:space="preserve">   barème publié doit-il s'appliquer strictement ?</w:t>
      </w:r>
    </w:p>
    <w:p>
      <w:pPr>
        <w:ind w:left="432"/>
      </w:pPr>
      <w:r>
        <w:rPr>
          <w:color w:val="5C5650"/>
        </w:rPr>
        <w:t xml:space="preserve">4. </w:t>
      </w:r>
      <w:r>
        <w:rPr>
          <w:b/>
          <w:color w:val="5C5650"/>
        </w:rPr>
        <w:t>Le cas du propriétaire défaillant</w:t>
      </w:r>
      <w:r>
        <w:rPr>
          <w:color w:val="5C5650"/>
        </w:rPr>
        <w:t xml:space="preserve"> : nous remboursons le client intégralement,</w:t>
      </w:r>
    </w:p>
    <w:p>
      <w:pPr>
        <w:ind w:left="432"/>
      </w:pPr>
      <w:r>
        <w:rPr>
          <w:color w:val="5C5650"/>
        </w:rPr>
        <w:t xml:space="preserve">   commission comprise. Pouvons-nous nous retourner contre le propriétaire, et faut-il</w:t>
      </w:r>
    </w:p>
    <w:p>
      <w:pPr>
        <w:ind w:left="432"/>
      </w:pPr>
      <w:r>
        <w:rPr>
          <w:color w:val="5C5650"/>
        </w:rPr>
        <w:t xml:space="preserve">   que les conditions le prévoient ?</w:t>
      </w:r>
    </w:p>
    <w:p>
      <w:pPr>
        <w:ind w:left="432"/>
      </w:pPr>
      <w:r>
        <w:rPr>
          <w:color w:val="5C5650"/>
        </w:rPr>
        <w:t xml:space="preserve">5. </w:t>
      </w:r>
      <w:r>
        <w:rPr>
          <w:b/>
          <w:color w:val="5C5650"/>
        </w:rPr>
        <w:t>Faut-il un délai de remboursement annoncé</w:t>
      </w:r>
      <w:r>
        <w:rPr>
          <w:color w:val="5C5650"/>
        </w:rPr>
        <w:t xml:space="preserve"> ? Le virement de retour est fait à la</w:t>
      </w:r>
    </w:p>
    <w:p>
      <w:pPr>
        <w:ind w:left="432"/>
      </w:pPr>
      <w:r>
        <w:rPr>
          <w:color w:val="5C5650"/>
        </w:rPr>
        <w:t xml:space="preserve">   main, comme le reversement, et l'exploitant n'a jusqu'ici promis aucune échéance</w:t>
      </w:r>
    </w:p>
    <w:p>
      <w:pPr>
        <w:ind w:left="432"/>
      </w:pPr>
      <w:r>
        <w:rPr>
          <w:color w:val="5C5650"/>
        </w:rPr>
        <w:t xml:space="preserve">   (voir la question restée ouverte au § 6 de la note du 18 août).</w:t>
      </w:r>
    </w:p>
    <w:p>
      <w:pPr>
        <w:jc w:val="center"/>
      </w:pPr>
      <w:r>
        <w:rPr>
          <w:color w:val="5C5650"/>
        </w:rPr>
        <w:t>• • •</w:t>
      </w:r>
    </w:p>
    <w:p>
      <w:pPr>
        <w:spacing w:before="320"/>
      </w:pPr>
      <w:r>
        <w:rPr>
          <w:b/>
          <w:color w:val="A34D1F"/>
          <w:sz w:val="26"/>
        </w:rPr>
        <w:t>3. Le client demande, il n'impose plus — changement de nature contractuelle</w:t>
      </w:r>
    </w:p>
    <w:p>
      <w:r>
        <w:rPr>
          <w:b/>
        </w:rPr>
        <w:t>Avant aujourd'hui</w:t>
      </w:r>
      <w:r>
        <w:t xml:space="preserve">, un client pouvait annuler seul une réservation </w:t>
      </w:r>
      <w:r>
        <w:rPr>
          <w:b/>
        </w:rPr>
        <w:t>déjà payée</w:t>
      </w:r>
      <w:r>
        <w:t>, à tout moment, y compris la veille de l'arrivée. La date se libérait immédiatement, et il attendait ensuite son argent sans qu'aucune règle ne dise combien ni quand.</w:t>
      </w:r>
    </w:p>
    <w:p>
      <w:r>
        <w:rPr>
          <w:b/>
        </w:rPr>
        <w:t>Depuis aujourd'hui</w:t>
      </w:r>
      <w:r>
        <w:t>, sur une réservation réglée :</w:t>
      </w:r>
    </w:p>
    <w:p>
      <w:pPr>
        <w:pStyle w:val="ListBullet"/>
      </w:pPr>
      <w:r>
        <w:t xml:space="preserve">le bouton s'intitule </w:t>
      </w:r>
      <w:r>
        <w:rPr>
          <w:b/>
        </w:rPr>
        <w:t>« Demander l'annulation »</w:t>
      </w:r>
      <w:r>
        <w:t xml:space="preserve"> et </w:t>
      </w:r>
      <w:r>
        <w:rPr>
          <w:b/>
        </w:rPr>
        <w:t>le motif est obligatoire</w:t>
      </w:r>
      <w:r>
        <w:t xml:space="preserve"> ;</w:t>
      </w:r>
    </w:p>
    <w:p>
      <w:pPr>
        <w:pStyle w:val="ListBullet"/>
      </w:pPr>
      <w:r>
        <w:t>la demande est enregistrée, datée, et remonte à l'exploitant ;</w:t>
      </w:r>
    </w:p>
    <w:p>
      <w:pPr>
        <w:pStyle w:val="ListBullet"/>
      </w:pPr>
      <w:r>
        <w:rPr>
          <w:b/>
        </w:rPr>
        <w:t>la réservation reste confirmée et les dates restent bloquées</w:t>
      </w:r>
      <w:r>
        <w:t xml:space="preserve"> jusqu'à la décision. Les libérer aussitôt permettrait à un second client de réserver un séjour qu'on n'a pas encore décidé d'annuler ;</w:t>
      </w:r>
    </w:p>
    <w:p>
      <w:pPr>
        <w:pStyle w:val="ListBullet"/>
      </w:pPr>
      <w:r>
        <w:t>l'exploitant décide, rembourse le cas échéant, et l'annulation prend effet à ce moment-là.</w:t>
      </w:r>
    </w:p>
    <w:p>
      <w:r>
        <w:rPr>
          <w:b/>
        </w:rPr>
        <w:t>Rien ne change quand rien n'a été encaissé</w:t>
      </w:r>
      <w:r>
        <w:t xml:space="preserve"> : une demande non réglée s'annule toujours d'un clic, sans formalité, puisqu'il n'y a aucune somme à rendre.</w:t>
      </w:r>
    </w:p>
    <w:p>
      <w:pPr>
        <w:ind w:left="432"/>
      </w:pPr>
      <w:r>
        <w:rPr>
          <w:b/>
          <w:color w:val="5C5650"/>
        </w:rPr>
        <w:t>Ce que nous vous demandons :</w:t>
      </w:r>
      <w:r>
        <w:rPr>
          <w:color w:val="5C5650"/>
        </w:rPr>
        <w:t xml:space="preserve"> peut-on subordonner l'annulation d'une réservation</w:t>
      </w:r>
    </w:p>
    <w:p>
      <w:pPr>
        <w:ind w:left="432"/>
      </w:pPr>
      <w:r>
        <w:rPr>
          <w:color w:val="5C5650"/>
        </w:rPr>
        <w:t>payée à notre décision, ou le client conserve-t-il un droit d'annulation immédiate que</w:t>
      </w:r>
    </w:p>
    <w:p>
      <w:pPr>
        <w:ind w:left="432"/>
      </w:pPr>
      <w:r>
        <w:rPr>
          <w:color w:val="5C5650"/>
        </w:rPr>
        <w:t>nous ne pouvons pas retirer ? Si le second, le blocage des dates pendant l'instruction</w:t>
      </w:r>
    </w:p>
    <w:p>
      <w:pPr>
        <w:ind w:left="432"/>
      </w:pPr>
      <w:r>
        <w:rPr>
          <w:color w:val="5C5650"/>
        </w:rPr>
        <w:t>est-il tout de même admissible ?</w:t>
      </w:r>
    </w:p>
    <w:p>
      <w:r>
        <w:t xml:space="preserve">→ à intégrer dans la </w:t>
      </w:r>
      <w:r>
        <w:rPr>
          <w:b/>
        </w:rPr>
        <w:t>politique d'annulation</w:t>
      </w:r>
      <w:r>
        <w:t>, qui décrit aujourd'hui un mécanisme qui n'existe plus.</w:t>
      </w:r>
    </w:p>
    <w:p>
      <w:pPr>
        <w:jc w:val="center"/>
      </w:pPr>
      <w:r>
        <w:rPr>
          <w:color w:val="5C5650"/>
        </w:rPr>
        <w:t>• • •</w:t>
      </w:r>
    </w:p>
    <w:p>
      <w:pPr>
        <w:spacing w:before="320"/>
      </w:pPr>
      <w:r>
        <w:rPr>
          <w:b/>
          <w:color w:val="A34D1F"/>
          <w:sz w:val="26"/>
        </w:rPr>
        <w:t>4. Rappels et corrections sur les notes précédentes</w:t>
      </w:r>
    </w:p>
    <w:p>
      <w:pPr>
        <w:spacing w:before="220"/>
      </w:pPr>
      <w:r>
        <w:rPr>
          <w:b/>
          <w:color w:val="1A1614"/>
          <w:sz w:val="23"/>
        </w:rPr>
        <w:t>La commission — le chiffre reste celui de la note du 22 août</w:t>
      </w:r>
    </w:p>
    <w:p>
      <w:r>
        <w:t xml:space="preserve">Aucun changement depuis. La commission est </w:t>
      </w:r>
      <w:r>
        <w:rPr>
          <w:b/>
        </w:rPr>
        <w:t>progressive par tranches</w:t>
      </w:r>
      <w:r>
        <w:t xml:space="preserve"> : 10 % sur les 50 000 premiers francs, 20 % au-delà. Nous le redisons parce que la </w:t>
      </w:r>
      <w:r>
        <w:rPr>
          <w:b/>
        </w:rPr>
        <w:t>page publique portait encore l'ancienne formulation</w:t>
      </w:r>
      <w:r>
        <w:t xml:space="preserve"> — « 10 % en dessous de 50 000, 20 % à partir de 50 000 » — jusqu'à aujourd'hui. Elle est corrigée, avec un exemple chiffré.</w:t>
      </w:r>
    </w:p>
    <w:tbl>
      <w:tblPr>
        <w:tblStyle w:val="TableGrid"/>
        <w:tblW w:type="auto" w:w="0"/>
        <w:tblLook w:firstColumn="1" w:firstRow="1" w:lastColumn="0" w:lastRow="0" w:noHBand="0" w:noVBand="1" w:val="04A0"/>
      </w:tblPr>
      <w:tblGrid>
        <w:gridCol w:w="2354"/>
        <w:gridCol w:w="2354"/>
        <w:gridCol w:w="2354"/>
        <w:gridCol w:w="2354"/>
      </w:tblGrid>
      <w:tr>
        <w:tc>
          <w:tcPr>
            <w:tcW w:type="dxa" w:w="2354"/>
          </w:tcPr>
          <w:p>
            <w:r/>
            <w:r>
              <w:rPr>
                <w:b/>
                <w:color w:val="A34D1F"/>
                <w:sz w:val="20"/>
              </w:rPr>
              <w:t>Prix payé</w:t>
            </w:r>
          </w:p>
        </w:tc>
        <w:tc>
          <w:tcPr>
            <w:tcW w:type="dxa" w:w="2354"/>
          </w:tcPr>
          <w:p>
            <w:r/>
            <w:r>
              <w:rPr>
                <w:b/>
                <w:color w:val="A34D1F"/>
                <w:sz w:val="20"/>
              </w:rPr>
              <w:t>Commission</w:t>
            </w:r>
          </w:p>
        </w:tc>
        <w:tc>
          <w:tcPr>
            <w:tcW w:type="dxa" w:w="2354"/>
          </w:tcPr>
          <w:p>
            <w:r/>
            <w:r>
              <w:rPr>
                <w:b/>
                <w:color w:val="A34D1F"/>
                <w:sz w:val="20"/>
              </w:rPr>
              <w:t>Le propriétaire touche</w:t>
            </w:r>
          </w:p>
        </w:tc>
        <w:tc>
          <w:tcPr>
            <w:tcW w:type="dxa" w:w="2354"/>
          </w:tcPr>
          <w:p>
            <w:r/>
            <w:r>
              <w:rPr>
                <w:b/>
                <w:color w:val="A34D1F"/>
                <w:sz w:val="20"/>
              </w:rPr>
              <w:t>Taux effectif</w:t>
            </w:r>
          </w:p>
        </w:tc>
      </w:tr>
      <w:tr>
        <w:tc>
          <w:tcPr>
            <w:tcW w:type="dxa" w:w="2354"/>
          </w:tcPr>
          <w:p>
            <w:r>
              <w:rPr>
                <w:sz w:val="20"/>
              </w:rPr>
            </w:r>
            <w:r>
              <w:rPr>
                <w:sz w:val="20"/>
              </w:rPr>
              <w:t>30 000</w:t>
            </w:r>
          </w:p>
        </w:tc>
        <w:tc>
          <w:tcPr>
            <w:tcW w:type="dxa" w:w="2354"/>
          </w:tcPr>
          <w:p>
            <w:r>
              <w:rPr>
                <w:sz w:val="20"/>
              </w:rPr>
            </w:r>
            <w:r>
              <w:rPr>
                <w:sz w:val="20"/>
              </w:rPr>
              <w:t>3 000</w:t>
            </w:r>
          </w:p>
        </w:tc>
        <w:tc>
          <w:tcPr>
            <w:tcW w:type="dxa" w:w="2354"/>
          </w:tcPr>
          <w:p>
            <w:r>
              <w:rPr>
                <w:sz w:val="20"/>
              </w:rPr>
            </w:r>
            <w:r>
              <w:rPr>
                <w:sz w:val="20"/>
              </w:rPr>
              <w:t>27 000</w:t>
            </w:r>
          </w:p>
        </w:tc>
        <w:tc>
          <w:tcPr>
            <w:tcW w:type="dxa" w:w="2354"/>
          </w:tcPr>
          <w:p>
            <w:r>
              <w:rPr>
                <w:sz w:val="20"/>
              </w:rPr>
            </w:r>
            <w:r>
              <w:rPr>
                <w:sz w:val="20"/>
              </w:rPr>
              <w:t>10 %</w:t>
            </w:r>
          </w:p>
        </w:tc>
      </w:tr>
      <w:tr>
        <w:tc>
          <w:tcPr>
            <w:tcW w:type="dxa" w:w="2354"/>
          </w:tcPr>
          <w:p>
            <w:r>
              <w:rPr>
                <w:sz w:val="20"/>
              </w:rPr>
            </w:r>
            <w:r>
              <w:rPr>
                <w:sz w:val="20"/>
              </w:rPr>
              <w:t>50 000</w:t>
            </w:r>
          </w:p>
        </w:tc>
        <w:tc>
          <w:tcPr>
            <w:tcW w:type="dxa" w:w="2354"/>
          </w:tcPr>
          <w:p>
            <w:r>
              <w:rPr>
                <w:sz w:val="20"/>
              </w:rPr>
            </w:r>
            <w:r>
              <w:rPr>
                <w:sz w:val="20"/>
              </w:rPr>
              <w:t>5 000</w:t>
            </w:r>
          </w:p>
        </w:tc>
        <w:tc>
          <w:tcPr>
            <w:tcW w:type="dxa" w:w="2354"/>
          </w:tcPr>
          <w:p>
            <w:r>
              <w:rPr>
                <w:sz w:val="20"/>
              </w:rPr>
            </w:r>
            <w:r>
              <w:rPr>
                <w:sz w:val="20"/>
              </w:rPr>
              <w:t>45 000</w:t>
            </w:r>
          </w:p>
        </w:tc>
        <w:tc>
          <w:tcPr>
            <w:tcW w:type="dxa" w:w="2354"/>
          </w:tcPr>
          <w:p>
            <w:r>
              <w:rPr>
                <w:sz w:val="20"/>
              </w:rPr>
            </w:r>
            <w:r>
              <w:rPr>
                <w:sz w:val="20"/>
              </w:rPr>
              <w:t>10 %</w:t>
            </w:r>
          </w:p>
        </w:tc>
      </w:tr>
      <w:tr>
        <w:tc>
          <w:tcPr>
            <w:tcW w:type="dxa" w:w="2354"/>
          </w:tcPr>
          <w:p>
            <w:r>
              <w:rPr>
                <w:sz w:val="20"/>
              </w:rPr>
            </w:r>
            <w:r>
              <w:rPr>
                <w:sz w:val="20"/>
              </w:rPr>
              <w:t>100 000</w:t>
            </w:r>
          </w:p>
        </w:tc>
        <w:tc>
          <w:tcPr>
            <w:tcW w:type="dxa" w:w="2354"/>
          </w:tcPr>
          <w:p>
            <w:r>
              <w:rPr>
                <w:sz w:val="20"/>
              </w:rPr>
            </w:r>
            <w:r>
              <w:rPr>
                <w:sz w:val="20"/>
              </w:rPr>
              <w:t>15 000</w:t>
            </w:r>
          </w:p>
        </w:tc>
        <w:tc>
          <w:tcPr>
            <w:tcW w:type="dxa" w:w="2354"/>
          </w:tcPr>
          <w:p>
            <w:r>
              <w:rPr>
                <w:sz w:val="20"/>
              </w:rPr>
            </w:r>
            <w:r>
              <w:rPr>
                <w:sz w:val="20"/>
              </w:rPr>
              <w:t>85 000</w:t>
            </w:r>
          </w:p>
        </w:tc>
        <w:tc>
          <w:tcPr>
            <w:tcW w:type="dxa" w:w="2354"/>
          </w:tcPr>
          <w:p>
            <w:r>
              <w:rPr>
                <w:sz w:val="20"/>
              </w:rPr>
            </w:r>
            <w:r>
              <w:rPr>
                <w:sz w:val="20"/>
              </w:rPr>
              <w:t>15 %</w:t>
            </w:r>
          </w:p>
        </w:tc>
      </w:tr>
      <w:tr>
        <w:tc>
          <w:tcPr>
            <w:tcW w:type="dxa" w:w="2354"/>
          </w:tcPr>
          <w:p>
            <w:r>
              <w:rPr>
                <w:sz w:val="20"/>
              </w:rPr>
            </w:r>
            <w:r>
              <w:rPr>
                <w:sz w:val="20"/>
              </w:rPr>
              <w:t>200 000</w:t>
            </w:r>
          </w:p>
        </w:tc>
        <w:tc>
          <w:tcPr>
            <w:tcW w:type="dxa" w:w="2354"/>
          </w:tcPr>
          <w:p>
            <w:r>
              <w:rPr>
                <w:sz w:val="20"/>
              </w:rPr>
            </w:r>
            <w:r>
              <w:rPr>
                <w:sz w:val="20"/>
              </w:rPr>
              <w:t>35 000</w:t>
            </w:r>
          </w:p>
        </w:tc>
        <w:tc>
          <w:tcPr>
            <w:tcW w:type="dxa" w:w="2354"/>
          </w:tcPr>
          <w:p>
            <w:r>
              <w:rPr>
                <w:sz w:val="20"/>
              </w:rPr>
            </w:r>
            <w:r>
              <w:rPr>
                <w:sz w:val="20"/>
              </w:rPr>
              <w:t>165 000</w:t>
            </w:r>
          </w:p>
        </w:tc>
        <w:tc>
          <w:tcPr>
            <w:tcW w:type="dxa" w:w="2354"/>
          </w:tcPr>
          <w:p>
            <w:r>
              <w:rPr>
                <w:sz w:val="20"/>
              </w:rPr>
            </w:r>
            <w:r>
              <w:rPr>
                <w:sz w:val="20"/>
              </w:rPr>
              <w:t>17,5 %</w:t>
            </w:r>
          </w:p>
        </w:tc>
      </w:tr>
    </w:tbl>
    <w:p/>
    <w:p>
      <w:pPr>
        <w:spacing w:before="220"/>
      </w:pPr>
      <w:r>
        <w:rPr>
          <w:b/>
          <w:color w:val="1A1614"/>
          <w:sz w:val="23"/>
        </w:rPr>
        <w:t>La boutique — toujours fermée, et le catalogue fictif a été retiré</w:t>
      </w:r>
    </w:p>
    <w:p>
      <w:r>
        <w:t xml:space="preserve">La note du 22 août signalait dix-neuf articles de démonstration en ligne, aux prix et aux artisans fictifs. </w:t>
      </w:r>
      <w:r>
        <w:rPr>
          <w:b/>
        </w:rPr>
        <w:t>Ils ont été effacés le 1er septembre</w:t>
      </w:r>
      <w:r>
        <w:t>, avant l'ouverture au public : un visiteur pouvait payer pour un objet qui n'existe pas.</w:t>
      </w:r>
    </w:p>
    <w:p>
      <w:r>
        <w:t xml:space="preserve">La boutique reste </w:t>
      </w:r>
      <w:r>
        <w:rPr>
          <w:b/>
        </w:rPr>
        <w:t>techniquement fermée</w:t>
      </w:r>
      <w:r>
        <w:t xml:space="preserve"> — ses pages répondent « introuvable » — en attendant les conditions générales de vente demandées au § 2 de la note du 22 août. Ce besoin n'a pas changé, et </w:t>
      </w:r>
      <w:r>
        <w:rPr>
          <w:b/>
        </w:rPr>
        <w:t>il reste le seul texte entièrement à créer</w:t>
      </w:r>
      <w:r>
        <w:t>.</w:t>
      </w:r>
    </w:p>
    <w:p>
      <w:r>
        <w:t>Les annonces de logement de démonstration ont été traitées de la même manière : elles sont passées à l'état de brouillon et ne sont plus visibles du public.</w:t>
      </w:r>
    </w:p>
    <w:p>
      <w:pPr>
        <w:jc w:val="center"/>
      </w:pPr>
      <w:r>
        <w:rPr>
          <w:color w:val="5C5650"/>
        </w:rPr>
        <w:t>• • •</w:t>
      </w:r>
    </w:p>
    <w:p>
      <w:pPr>
        <w:spacing w:before="320"/>
      </w:pPr>
      <w:r>
        <w:rPr>
          <w:b/>
          <w:color w:val="A34D1F"/>
          <w:sz w:val="26"/>
        </w:rPr>
        <w:t>5. Données personnelles nouvelles depuis le 22 août</w:t>
      </w:r>
    </w:p>
    <w:p>
      <w:r>
        <w:t>Deux ajouts à la politique de confidentialité, en plus des cinq de la note précédente.</w:t>
      </w:r>
    </w:p>
    <w:p>
      <w:r>
        <w:rPr>
          <w:b/>
        </w:rPr>
        <w:t>Le numéro de téléphone qui sert à payer est désormais conservé.</w:t>
      </w:r>
      <w:r>
        <w:t xml:space="preserve"> Il était jusqu'ici demandé au client, transmis au prestataire de paiement, puis oublié. Le remboursement l'a rendu indispensable : on ne rembourse pas une personne, on crédite un numéro — et ce numéro n'est pas nécessairement celui du compte, puisqu'on peut s'inscrire avec son téléphone et régler avec le portefeuille mobile d'un proche.</w:t>
      </w:r>
    </w:p>
    <w:p>
      <w:pPr>
        <w:pStyle w:val="ListBullet"/>
      </w:pPr>
      <w:r>
        <w:t>finalité : pouvoir rembourser sur le numéro qui a été débité ;</w:t>
      </w:r>
    </w:p>
    <w:p>
      <w:pPr>
        <w:pStyle w:val="ListBullet"/>
      </w:pPr>
      <w:r>
        <w:rPr>
          <w:b/>
        </w:rPr>
        <w:t>durée de conservation à fixer</w:t>
      </w:r>
      <w:r>
        <w:t xml:space="preserve"> ;</w:t>
      </w:r>
    </w:p>
    <w:p>
      <w:pPr>
        <w:pStyle w:val="ListBullet"/>
      </w:pPr>
      <w:r>
        <w:t>il est visible de l'exploitant, jamais du propriétaire ni d'un autre client.</w:t>
      </w:r>
    </w:p>
    <w:p>
      <w:r>
        <w:rPr>
          <w:b/>
        </w:rPr>
        <w:t>Les courriels sont acheminés par un nouveau prestataire, Resend</w:t>
      </w:r>
      <w:r>
        <w:t>, en remplacement de l'envoi direct qui ne fonctionnait pas depuis l'hébergeur. Il traite l'adresse électronique du destinataire et le contenu des messages de service — confirmation d'inscription, réinitialisation de mot de passe, jalons d'une réservation.</w:t>
      </w:r>
    </w:p>
    <w:p>
      <w:r>
        <w:t xml:space="preserve">Récapitulatif des prestataires, tous établis hors du Sénégal : </w:t>
      </w:r>
      <w:r>
        <w:rPr>
          <w:b/>
        </w:rPr>
        <w:t>Render</w:t>
      </w:r>
      <w:r>
        <w:t xml:space="preserve"> (site),</w:t>
      </w:r>
    </w:p>
    <w:p>
      <w:r>
        <w:rPr>
          <w:b/>
        </w:rPr>
        <w:t>Railway</w:t>
      </w:r>
      <w:r>
        <w:t xml:space="preserve"> (base de données et service applicatif), </w:t>
      </w:r>
      <w:r>
        <w:rPr>
          <w:b/>
        </w:rPr>
        <w:t>Cloudflare R2</w:t>
      </w:r>
      <w:r>
        <w:t xml:space="preserve"> (photographies),</w:t>
      </w:r>
    </w:p>
    <w:p>
      <w:r>
        <w:rPr>
          <w:b/>
        </w:rPr>
        <w:t>PayDunya</w:t>
      </w:r>
      <w:r>
        <w:t xml:space="preserve"> (paiement), </w:t>
      </w:r>
      <w:r>
        <w:rPr>
          <w:b/>
        </w:rPr>
        <w:t>Resend</w:t>
      </w:r>
      <w:r>
        <w:t xml:space="preserve"> (courrier).</w:t>
      </w:r>
    </w:p>
    <w:p>
      <w:pPr>
        <w:ind w:left="432"/>
      </w:pPr>
      <w:r>
        <w:rPr>
          <w:b/>
          <w:color w:val="5C5650"/>
        </w:rPr>
        <w:t>Ce que nous vous demandons :</w:t>
      </w:r>
      <w:r>
        <w:rPr>
          <w:color w:val="5C5650"/>
        </w:rPr>
        <w:t xml:space="preserve"> ce recours à des sous-traitants hors du Sénégal</w:t>
      </w:r>
    </w:p>
    <w:p>
      <w:pPr>
        <w:ind w:left="432"/>
      </w:pPr>
      <w:r>
        <w:rPr>
          <w:color w:val="5C5650"/>
        </w:rPr>
        <w:t>appelle-t-il une mention particulière, une information préalable, ou une formalité</w:t>
      </w:r>
    </w:p>
    <w:p>
      <w:pPr>
        <w:ind w:left="432"/>
      </w:pPr>
      <w:r>
        <w:rPr>
          <w:color w:val="5C5650"/>
        </w:rPr>
        <w:t>auprès d'une autorité ? La politique actuelle se contente de nommer les hébergeurs.</w:t>
      </w:r>
    </w:p>
    <w:p>
      <w:pPr>
        <w:jc w:val="center"/>
      </w:pPr>
      <w:r>
        <w:rPr>
          <w:color w:val="5C5650"/>
        </w:rPr>
        <w:t>• • •</w:t>
      </w:r>
    </w:p>
    <w:p>
      <w:pPr>
        <w:spacing w:before="320"/>
      </w:pPr>
      <w:r>
        <w:rPr>
          <w:b/>
          <w:color w:val="A34D1F"/>
          <w:sz w:val="26"/>
        </w:rPr>
        <w:t>6. Ce qui devient urgent — le § 3 de la note du 22 août</w:t>
      </w:r>
    </w:p>
    <w:p>
      <w:r>
        <w:t xml:space="preserve">La note du 22 août posait la question de l'exercice </w:t>
      </w:r>
      <w:r>
        <w:rPr>
          <w:b/>
        </w:rPr>
        <w:t>sans structure déclarée</w:t>
      </w:r>
      <w:r>
        <w:t>, alors que la plateforme encaisse pour le compte de tiers. Elle se posait alors sur un service que personne n'utilisait encore.</w:t>
      </w:r>
    </w:p>
    <w:p>
      <w:r>
        <w:rPr>
          <w:b/>
        </w:rPr>
        <w:t>Ce n'est plus le cas.</w:t>
      </w:r>
      <w:r>
        <w:t xml:space="preserve"> Depuis le 1er septembre 2026, PasseTemps est ouvert au public sur son propre nom de domaine, l'encaissement réel est actif, et le lien est diffusé à de vrais utilisateurs.</w:t>
      </w:r>
    </w:p>
    <w:p>
      <w:r>
        <w:t>Nous rappelons les trois questions sans les reformuler, parce qu'elles n'ont pas changé — seule leur urgence a changé :</w:t>
      </w:r>
    </w:p>
    <w:p>
      <w:pPr>
        <w:pStyle w:val="ListNumber"/>
      </w:pPr>
      <w:r>
        <w:rPr>
          <w:b/>
        </w:rPr>
        <w:t>Peut-on publier des mentions légales sans société ?</w:t>
      </w:r>
      <w:r>
        <w:t xml:space="preserve"> Quelles mentions tiennent lieu d'identification de l'éditeur quand il s'agit d'une personne physique non déclarée ?</w:t>
      </w:r>
    </w:p>
    <w:p>
      <w:pPr>
        <w:pStyle w:val="ListNumber"/>
      </w:pPr>
      <w:r>
        <w:rPr>
          <w:b/>
        </w:rPr>
        <w:t>L'encaissement pour compte de tiers peut-il se faire sans structure déclarée ?</w:t>
      </w:r>
      <w:r>
        <w:t xml:space="preserve"> Si non, qu'est-ce qui est le plus urgent : créer la société, ou cesser d'encaisser et revenir au règlement direct entre client et propriétaire ?</w:t>
      </w:r>
    </w:p>
    <w:p>
      <w:pPr>
        <w:pStyle w:val="ListNumber"/>
      </w:pPr>
      <w:r>
        <w:rPr>
          <w:b/>
        </w:rPr>
        <w:t>À partir de quel seuil la déclaration devient-elle exigible ?</w:t>
      </w:r>
    </w:p>
    <w:p>
      <w:r>
        <w:t>Les quatre pages légales du site portent toujours, en tête, un bandeau disant que le texte est en cours de rédaction et ne tient pas lieu de conditions contractuelles. Elles ne contiennent aucune clause : uniquement une description factuelle du fonctionnement, vérifiable. C'est ce qui nous permet d'ouvrir sans mentir, mais ce n'est pas un état tenable longtemps.</w:t>
      </w:r>
    </w:p>
    <w:p>
      <w:pPr>
        <w:jc w:val="center"/>
      </w:pPr>
      <w:r>
        <w:rPr>
          <w:color w:val="5C5650"/>
        </w:rPr>
        <w:t>• • •</w:t>
      </w:r>
    </w:p>
    <w:p>
      <w:pPr>
        <w:spacing w:before="320"/>
      </w:pPr>
      <w:r>
        <w:rPr>
          <w:b/>
          <w:color w:val="A34D1F"/>
          <w:sz w:val="26"/>
        </w:rPr>
        <w:t>7. Documents joints</w:t>
      </w:r>
    </w:p>
    <w:tbl>
      <w:tblPr>
        <w:tblStyle w:val="TableGrid"/>
        <w:tblW w:type="auto" w:w="0"/>
        <w:tblLook w:firstColumn="1" w:firstRow="1" w:lastColumn="0" w:lastRow="0" w:noHBand="0" w:noVBand="1" w:val="04A0"/>
      </w:tblPr>
      <w:tblGrid>
        <w:gridCol w:w="4709"/>
        <w:gridCol w:w="4709"/>
      </w:tblGrid>
      <w:tr>
        <w:tc>
          <w:tcPr>
            <w:tcW w:type="dxa" w:w="4709"/>
          </w:tcPr>
          <w:p>
            <w:r/>
            <w:r>
              <w:rPr>
                <w:b/>
                <w:color w:val="A34D1F"/>
                <w:sz w:val="20"/>
              </w:rPr>
              <w:t>Fichier</w:t>
            </w:r>
          </w:p>
        </w:tc>
        <w:tc>
          <w:tcPr>
            <w:tcW w:type="dxa" w:w="4709"/>
          </w:tcPr>
          <w:p>
            <w:r/>
            <w:r>
              <w:rPr>
                <w:b/>
                <w:color w:val="A34D1F"/>
                <w:sz w:val="20"/>
              </w:rPr>
              <w:t>État</w:t>
            </w:r>
          </w:p>
        </w:tc>
      </w:tr>
      <w:tr>
        <w:tc>
          <w:tcPr>
            <w:tcW w:type="dxa" w:w="4709"/>
          </w:tcPr>
          <w:p>
            <w:r>
              <w:rPr>
                <w:sz w:val="20"/>
              </w:rPr>
            </w:r>
            <w:r>
              <w:rPr>
                <w:rFonts w:ascii="Consolas" w:hAnsi="Consolas"/>
                <w:color w:val="5C5650"/>
                <w:sz w:val="20"/>
              </w:rPr>
              <w:t>NOTE-AU-JURISTE.md</w:t>
            </w:r>
            <w:r>
              <w:rPr>
                <w:sz w:val="20"/>
              </w:rPr>
              <w:t xml:space="preserve"> (10 août)</w:t>
            </w:r>
          </w:p>
        </w:tc>
        <w:tc>
          <w:tcPr>
            <w:tcW w:type="dxa" w:w="4709"/>
          </w:tcPr>
          <w:p>
            <w:r>
              <w:rPr>
                <w:sz w:val="20"/>
              </w:rPr>
            </w:r>
            <w:r>
              <w:rPr>
                <w:sz w:val="20"/>
              </w:rPr>
              <w:t>cadre général, toujours utile</w:t>
            </w:r>
          </w:p>
        </w:tc>
      </w:tr>
      <w:tr>
        <w:tc>
          <w:tcPr>
            <w:tcW w:type="dxa" w:w="4709"/>
          </w:tcPr>
          <w:p>
            <w:r>
              <w:rPr>
                <w:sz w:val="20"/>
              </w:rPr>
            </w:r>
            <w:r>
              <w:rPr>
                <w:rFonts w:ascii="Consolas" w:hAnsi="Consolas"/>
                <w:color w:val="5C5650"/>
                <w:sz w:val="20"/>
              </w:rPr>
              <w:t>1-Conditions-generales-utilisation</w:t>
            </w:r>
            <w:r>
              <w:rPr>
                <w:sz w:val="20"/>
              </w:rPr>
              <w:t xml:space="preserve"> (10 août)</w:t>
            </w:r>
          </w:p>
        </w:tc>
        <w:tc>
          <w:tcPr>
            <w:tcW w:type="dxa" w:w="4709"/>
          </w:tcPr>
          <w:p>
            <w:r>
              <w:rPr>
                <w:sz w:val="20"/>
              </w:rPr>
            </w:r>
            <w:r>
              <w:rPr>
                <w:sz w:val="20"/>
              </w:rPr>
              <w:t xml:space="preserve">relu le 12 août — </w:t>
            </w:r>
            <w:r>
              <w:rPr>
                <w:b/>
                <w:sz w:val="20"/>
              </w:rPr>
              <w:t>à reprendre</w:t>
            </w:r>
            <w:r>
              <w:rPr>
                <w:sz w:val="20"/>
              </w:rPr>
              <w:t xml:space="preserve"> : nom, §§ 2 et 3</w:t>
            </w:r>
          </w:p>
        </w:tc>
      </w:tr>
      <w:tr>
        <w:tc>
          <w:tcPr>
            <w:tcW w:type="dxa" w:w="4709"/>
          </w:tcPr>
          <w:p>
            <w:r>
              <w:rPr>
                <w:sz w:val="20"/>
              </w:rPr>
            </w:r>
            <w:r>
              <w:rPr>
                <w:rFonts w:ascii="Consolas" w:hAnsi="Consolas"/>
                <w:color w:val="5C5650"/>
                <w:sz w:val="20"/>
              </w:rPr>
              <w:t>2-Politique-de-confidentialite</w:t>
            </w:r>
            <w:r>
              <w:rPr>
                <w:sz w:val="20"/>
              </w:rPr>
              <w:t xml:space="preserve"> (10 août)</w:t>
            </w:r>
          </w:p>
        </w:tc>
        <w:tc>
          <w:tcPr>
            <w:tcW w:type="dxa" w:w="4709"/>
          </w:tcPr>
          <w:p>
            <w:r>
              <w:rPr>
                <w:sz w:val="20"/>
              </w:rPr>
            </w:r>
            <w:r>
              <w:rPr>
                <w:sz w:val="20"/>
              </w:rPr>
              <w:t xml:space="preserve">relu — </w:t>
            </w:r>
            <w:r>
              <w:rPr>
                <w:b/>
                <w:sz w:val="20"/>
              </w:rPr>
              <w:t>à reprendre</w:t>
            </w:r>
            <w:r>
              <w:rPr>
                <w:sz w:val="20"/>
              </w:rPr>
              <w:t xml:space="preserve"> : nom, § 5 de cette note</w:t>
            </w:r>
          </w:p>
        </w:tc>
      </w:tr>
      <w:tr>
        <w:tc>
          <w:tcPr>
            <w:tcW w:type="dxa" w:w="4709"/>
          </w:tcPr>
          <w:p>
            <w:r>
              <w:rPr>
                <w:sz w:val="20"/>
              </w:rPr>
            </w:r>
            <w:r>
              <w:rPr>
                <w:rFonts w:ascii="Consolas" w:hAnsi="Consolas"/>
                <w:color w:val="5C5650"/>
                <w:sz w:val="20"/>
              </w:rPr>
              <w:t>3-Politique-d-annulation</w:t>
            </w:r>
            <w:r>
              <w:rPr>
                <w:sz w:val="20"/>
              </w:rPr>
              <w:t xml:space="preserve"> (10 août)</w:t>
            </w:r>
          </w:p>
        </w:tc>
        <w:tc>
          <w:tcPr>
            <w:tcW w:type="dxa" w:w="4709"/>
          </w:tcPr>
          <w:p>
            <w:r>
              <w:rPr>
                <w:sz w:val="20"/>
              </w:rPr>
            </w:r>
            <w:r>
              <w:rPr>
                <w:sz w:val="20"/>
              </w:rPr>
              <w:t xml:space="preserve">relu — </w:t>
            </w:r>
            <w:r>
              <w:rPr>
                <w:b/>
                <w:sz w:val="20"/>
              </w:rPr>
              <w:t>à reprendre entièrement</w:t>
            </w:r>
            <w:r>
              <w:rPr>
                <w:sz w:val="20"/>
              </w:rPr>
              <w:t xml:space="preserve"> : §§ 2 et 3</w:t>
            </w:r>
          </w:p>
        </w:tc>
      </w:tr>
      <w:tr>
        <w:tc>
          <w:tcPr>
            <w:tcW w:type="dxa" w:w="4709"/>
          </w:tcPr>
          <w:p>
            <w:r>
              <w:rPr>
                <w:sz w:val="20"/>
              </w:rPr>
            </w:r>
            <w:r>
              <w:rPr>
                <w:rFonts w:ascii="Consolas" w:hAnsi="Consolas"/>
                <w:color w:val="5C5650"/>
                <w:sz w:val="20"/>
              </w:rPr>
              <w:t>4-Mentions-legales</w:t>
            </w:r>
            <w:r>
              <w:rPr>
                <w:sz w:val="20"/>
              </w:rPr>
              <w:t xml:space="preserve"> (10 août)</w:t>
            </w:r>
          </w:p>
        </w:tc>
        <w:tc>
          <w:tcPr>
            <w:tcW w:type="dxa" w:w="4709"/>
          </w:tcPr>
          <w:p>
            <w:r>
              <w:rPr>
                <w:sz w:val="20"/>
              </w:rPr>
            </w:r>
            <w:r>
              <w:rPr>
                <w:sz w:val="20"/>
              </w:rPr>
              <w:t>relu — bloqué sur la raison sociale, voir § 6</w:t>
            </w:r>
          </w:p>
        </w:tc>
      </w:tr>
      <w:tr>
        <w:tc>
          <w:tcPr>
            <w:tcW w:type="dxa" w:w="4709"/>
          </w:tcPr>
          <w:p>
            <w:r>
              <w:rPr>
                <w:sz w:val="20"/>
              </w:rPr>
            </w:r>
            <w:r>
              <w:rPr>
                <w:rFonts w:ascii="Consolas" w:hAnsi="Consolas"/>
                <w:color w:val="5C5650"/>
                <w:sz w:val="20"/>
              </w:rPr>
              <w:t>NOTE-AU-JURISTE-v2.md</w:t>
            </w:r>
            <w:r>
              <w:rPr>
                <w:sz w:val="20"/>
              </w:rPr>
              <w:t xml:space="preserve"> (18 août)</w:t>
            </w:r>
          </w:p>
        </w:tc>
        <w:tc>
          <w:tcPr>
            <w:tcW w:type="dxa" w:w="4709"/>
          </w:tcPr>
          <w:p>
            <w:r>
              <w:rPr>
                <w:sz w:val="20"/>
              </w:rPr>
            </w:r>
            <w:r>
              <w:rPr>
                <w:b/>
                <w:sz w:val="20"/>
              </w:rPr>
              <w:t>le tableau de commission y est faux</w:t>
            </w:r>
            <w:r>
              <w:rPr>
                <w:sz w:val="20"/>
              </w:rPr>
              <w:t>, voir § 4</w:t>
            </w:r>
          </w:p>
        </w:tc>
      </w:tr>
      <w:tr>
        <w:tc>
          <w:tcPr>
            <w:tcW w:type="dxa" w:w="4709"/>
          </w:tcPr>
          <w:p>
            <w:r>
              <w:rPr>
                <w:sz w:val="20"/>
              </w:rPr>
            </w:r>
            <w:r>
              <w:rPr>
                <w:rFonts w:ascii="Consolas" w:hAnsi="Consolas"/>
                <w:color w:val="5C5650"/>
                <w:sz w:val="20"/>
              </w:rPr>
              <w:t>1-Conditions-generales-utilisation-v2</w:t>
            </w:r>
            <w:r>
              <w:rPr>
                <w:sz w:val="20"/>
              </w:rPr>
              <w:t xml:space="preserve"> (18 août)</w:t>
            </w:r>
          </w:p>
        </w:tc>
        <w:tc>
          <w:tcPr>
            <w:tcW w:type="dxa" w:w="4709"/>
          </w:tcPr>
          <w:p>
            <w:r>
              <w:rPr>
                <w:sz w:val="20"/>
              </w:rPr>
            </w:r>
            <w:r>
              <w:rPr>
                <w:sz w:val="20"/>
              </w:rPr>
              <w:t>soumis, non validé</w:t>
            </w:r>
          </w:p>
        </w:tc>
      </w:tr>
      <w:tr>
        <w:tc>
          <w:tcPr>
            <w:tcW w:type="dxa" w:w="4709"/>
          </w:tcPr>
          <w:p>
            <w:r>
              <w:rPr>
                <w:sz w:val="20"/>
              </w:rPr>
            </w:r>
            <w:r>
              <w:rPr>
                <w:rFonts w:ascii="Consolas" w:hAnsi="Consolas"/>
                <w:color w:val="5C5650"/>
                <w:sz w:val="20"/>
              </w:rPr>
              <w:t>NOTE-AU-JURISTE-v3.md</w:t>
            </w:r>
            <w:r>
              <w:rPr>
                <w:sz w:val="20"/>
              </w:rPr>
              <w:t xml:space="preserve"> (22 août)</w:t>
            </w:r>
          </w:p>
        </w:tc>
        <w:tc>
          <w:tcPr>
            <w:tcW w:type="dxa" w:w="4709"/>
          </w:tcPr>
          <w:p>
            <w:r>
              <w:rPr>
                <w:sz w:val="20"/>
              </w:rPr>
            </w:r>
            <w:r>
              <w:rPr>
                <w:sz w:val="20"/>
              </w:rPr>
              <w:t>boutique, commission par tranches, absence de société</w:t>
            </w:r>
          </w:p>
        </w:tc>
      </w:tr>
      <w:tr>
        <w:tc>
          <w:tcPr>
            <w:tcW w:type="dxa" w:w="4709"/>
          </w:tcPr>
          <w:p>
            <w:r>
              <w:rPr>
                <w:sz w:val="20"/>
              </w:rPr>
            </w:r>
            <w:r>
              <w:rPr>
                <w:b/>
                <w:sz w:val="20"/>
              </w:rPr>
              <w:t>`NOTE-AU-JURISTE-v4.md`</w:t>
            </w:r>
            <w:r>
              <w:rPr>
                <w:sz w:val="20"/>
              </w:rPr>
              <w:t xml:space="preserve"> (1er septembre)</w:t>
            </w:r>
          </w:p>
        </w:tc>
        <w:tc>
          <w:tcPr>
            <w:tcW w:type="dxa" w:w="4709"/>
          </w:tcPr>
          <w:p>
            <w:r>
              <w:rPr>
                <w:sz w:val="20"/>
              </w:rPr>
            </w:r>
            <w:r>
              <w:rPr>
                <w:sz w:val="20"/>
              </w:rPr>
              <w:t>cette note</w:t>
            </w:r>
          </w:p>
        </w:tc>
      </w:tr>
    </w:tbl>
    <w:p/>
    <w:p>
      <w:r>
        <w:rPr>
          <w:b/>
        </w:rPr>
        <w:t>Toujours manquant, et à créer : des conditions générales de vente pour la boutique.</w:t>
      </w:r>
      <w:r>
        <w:t xml:space="preserve"> Demandé le 22 août, sans changement.</w:t>
      </w:r>
    </w:p>
    <w:p>
      <w:pPr>
        <w:jc w:val="center"/>
      </w:pPr>
      <w:r>
        <w:rPr>
          <w:color w:val="5C5650"/>
        </w:rPr>
        <w:t>• • •</w:t>
      </w:r>
    </w:p>
    <w:p>
      <w:r>
        <w:t>*Les passages surlignés dans les documents Word sont des informations d'entreprise à renseigner. Merci de retourner les fichiers annotés ou corrigés : la version validée sera intégrée telle quelle au site, sans reformulation.*</w:t>
      </w:r>
    </w:p>
    <w:sectPr w:rsidR="00FC693F" w:rsidRPr="0006063C" w:rsidSect="00034616">
      <w:pgSz w:w="12240" w:h="15840"/>
      <w:pgMar w:top="1253" w:right="1411" w:bottom="1253"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40"/>
    </w:pPr>
    <w:rPr>
      <w:rFonts w:ascii="Calibri" w:hAnsi="Calibri"/>
      <w:color w:val="1A161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