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pPr>
      <w:r>
        <w:rPr>
          <w:b/>
          <w:color w:val="0F766E"/>
          <w:sz w:val="30"/>
        </w:rPr>
        <w:t>ASSMS</w:t>
      </w:r>
    </w:p>
    <w:p>
      <w:pPr>
        <w:pStyle w:val="Title"/>
      </w:pPr>
      <w:r>
        <w:t>Sprint 1 CI CD workflow</w:t>
      </w:r>
    </w:p>
    <w:p>
      <w:pPr>
        <w:spacing w:after="520"/>
      </w:pPr>
      <w:r>
        <w:rPr>
          <w:color w:val="667085"/>
          <w:sz w:val="28"/>
        </w:rPr>
        <w:t>Build validation staging promotion and recovery</w:t>
      </w:r>
    </w:p>
    <w:tbl>
      <w:tblPr>
        <w:tblW w:type="auto" w:w="0"/>
        <w:jc w:val="left"/>
        <w:tblLayout w:type="fixed"/>
        <w:tblLook w:firstColumn="1" w:firstRow="1" w:lastColumn="0" w:lastRow="0" w:noHBand="0" w:noVBand="1" w:val="04A0"/>
      </w:tblPr>
      <w:tblGrid>
        <w:gridCol w:w="4917"/>
        <w:gridCol w:w="4917"/>
      </w:tblGrid>
      <w:tr>
        <w:tc>
          <w:tcPr>
            <w:tcW w:type="dxa" w:w="2376"/>
            <w:shd w:fill="EEF6F5"/>
            <w:tcBorders>
              <w:top w:val="single" w:sz="4" w:color="CDD5DF"/>
              <w:left w:val="single" w:sz="4" w:color="CDD5DF"/>
              <w:bottom w:val="single" w:sz="4" w:color="CDD5DF"/>
              <w:right w:val="single" w:sz="4" w:color="CDD5DF"/>
              <w:insideH w:val="single" w:sz="4" w:color="CDD5DF"/>
              <w:insideV w:val="single" w:sz="4" w:color="CDD5DF"/>
            </w:tcBorders>
          </w:tcPr>
          <w:p>
            <w:r>
              <w:rPr>
                <w:b/>
              </w:rPr>
              <w:t>Sprint</w:t>
            </w:r>
          </w:p>
        </w:tc>
        <w:tc>
          <w:tcPr>
            <w:tcW w:type="dxa" w:w="6768"/>
            <w:tcBorders>
              <w:top w:val="single" w:sz="4" w:color="CDD5DF"/>
              <w:left w:val="single" w:sz="4" w:color="CDD5DF"/>
              <w:bottom w:val="single" w:sz="4" w:color="CDD5DF"/>
              <w:right w:val="single" w:sz="4" w:color="CDD5DF"/>
              <w:insideH w:val="single" w:sz="4" w:color="CDD5DF"/>
              <w:insideV w:val="single" w:sz="4" w:color="CDD5DF"/>
            </w:tcBorders>
          </w:tcPr>
          <w:p>
            <w:r>
              <w:t>Sprint 1</w:t>
            </w:r>
          </w:p>
        </w:tc>
      </w:tr>
      <w:tr>
        <w:tc>
          <w:tcPr>
            <w:tcW w:type="dxa" w:w="2376"/>
            <w:shd w:fill="EEF6F5"/>
            <w:tcBorders>
              <w:top w:val="single" w:sz="4" w:color="CDD5DF"/>
              <w:left w:val="single" w:sz="4" w:color="CDD5DF"/>
              <w:bottom w:val="single" w:sz="4" w:color="CDD5DF"/>
              <w:right w:val="single" w:sz="4" w:color="CDD5DF"/>
              <w:insideH w:val="single" w:sz="4" w:color="CDD5DF"/>
              <w:insideV w:val="single" w:sz="4" w:color="CDD5DF"/>
            </w:tcBorders>
          </w:tcPr>
          <w:p>
            <w:r>
              <w:rPr>
                <w:b/>
              </w:rPr>
              <w:t>Status date</w:t>
            </w:r>
          </w:p>
        </w:tc>
        <w:tc>
          <w:tcPr>
            <w:tcW w:type="dxa" w:w="6768"/>
            <w:tcBorders>
              <w:top w:val="single" w:sz="4" w:color="CDD5DF"/>
              <w:left w:val="single" w:sz="4" w:color="CDD5DF"/>
              <w:bottom w:val="single" w:sz="4" w:color="CDD5DF"/>
              <w:right w:val="single" w:sz="4" w:color="CDD5DF"/>
              <w:insideH w:val="single" w:sz="4" w:color="CDD5DF"/>
              <w:insideV w:val="single" w:sz="4" w:color="CDD5DF"/>
            </w:tcBorders>
          </w:tcPr>
          <w:p>
            <w:r>
              <w:t>7 September 2026</w:t>
            </w:r>
          </w:p>
        </w:tc>
      </w:tr>
      <w:tr>
        <w:tc>
          <w:tcPr>
            <w:tcW w:type="dxa" w:w="2376"/>
            <w:shd w:fill="EEF6F5"/>
            <w:tcBorders>
              <w:top w:val="single" w:sz="4" w:color="CDD5DF"/>
              <w:left w:val="single" w:sz="4" w:color="CDD5DF"/>
              <w:bottom w:val="single" w:sz="4" w:color="CDD5DF"/>
              <w:right w:val="single" w:sz="4" w:color="CDD5DF"/>
              <w:insideH w:val="single" w:sz="4" w:color="CDD5DF"/>
              <w:insideV w:val="single" w:sz="4" w:color="CDD5DF"/>
            </w:tcBorders>
          </w:tcPr>
          <w:p>
            <w:r>
              <w:rPr>
                <w:b/>
              </w:rPr>
              <w:t>Primary owner</w:t>
            </w:r>
          </w:p>
        </w:tc>
        <w:tc>
          <w:tcPr>
            <w:tcW w:type="dxa" w:w="6768"/>
            <w:tcBorders>
              <w:top w:val="single" w:sz="4" w:color="CDD5DF"/>
              <w:left w:val="single" w:sz="4" w:color="CDD5DF"/>
              <w:bottom w:val="single" w:sz="4" w:color="CDD5DF"/>
              <w:right w:val="single" w:sz="4" w:color="CDD5DF"/>
              <w:insideH w:val="single" w:sz="4" w:color="CDD5DF"/>
              <w:insideV w:val="single" w:sz="4" w:color="CDD5DF"/>
            </w:tcBorders>
          </w:tcPr>
          <w:p>
            <w:r>
              <w:t>DevOps</w:t>
            </w:r>
          </w:p>
        </w:tc>
      </w:tr>
      <w:tr>
        <w:tc>
          <w:tcPr>
            <w:tcW w:type="dxa" w:w="2376"/>
            <w:shd w:fill="EEF6F5"/>
            <w:tcBorders>
              <w:top w:val="single" w:sz="4" w:color="CDD5DF"/>
              <w:left w:val="single" w:sz="4" w:color="CDD5DF"/>
              <w:bottom w:val="single" w:sz="4" w:color="CDD5DF"/>
              <w:right w:val="single" w:sz="4" w:color="CDD5DF"/>
              <w:insideH w:val="single" w:sz="4" w:color="CDD5DF"/>
              <w:insideV w:val="single" w:sz="4" w:color="CDD5DF"/>
            </w:tcBorders>
          </w:tcPr>
          <w:p>
            <w:r>
              <w:rPr>
                <w:b/>
              </w:rPr>
              <w:t>Audience</w:t>
            </w:r>
          </w:p>
        </w:tc>
        <w:tc>
          <w:tcPr>
            <w:tcW w:type="dxa" w:w="6768"/>
            <w:tcBorders>
              <w:top w:val="single" w:sz="4" w:color="CDD5DF"/>
              <w:left w:val="single" w:sz="4" w:color="CDD5DF"/>
              <w:bottom w:val="single" w:sz="4" w:color="CDD5DF"/>
              <w:right w:val="single" w:sz="4" w:color="CDD5DF"/>
              <w:insideH w:val="single" w:sz="4" w:color="CDD5DF"/>
              <w:insideV w:val="single" w:sz="4" w:color="CDD5DF"/>
            </w:tcBorders>
          </w:tcPr>
          <w:p>
            <w:r>
              <w:t>Project team and academic reviewers</w:t>
            </w:r>
          </w:p>
        </w:tc>
      </w:tr>
    </w:tbl>
    <w:p/>
    <w:p>
      <w:r>
        <w:rPr>
          <w:b/>
        </w:rPr>
        <w:t xml:space="preserve">Evidence basis  </w:t>
      </w:r>
      <w:r>
        <w:t>Live Sprint 1 Jira backlog plus the six repository workspaces, source code, tests, workflows, Terraform, and recorded staging verification. Planned or deferred work is labelled explicitly.</w:t>
      </w:r>
    </w:p>
    <w:p>
      <w:r>
        <w:br w:type="page"/>
      </w:r>
    </w:p>
    <w:p>
      <w:pPr>
        <w:pStyle w:val="Heading1"/>
      </w:pPr>
      <w:r>
        <w:t>Document control</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2448"/>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Field</w:t>
            </w:r>
          </w:p>
        </w:tc>
        <w:tc>
          <w:tcPr>
            <w:tcW w:type="dxa" w:w="7056"/>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Value</w:t>
            </w:r>
          </w:p>
        </w:tc>
      </w:tr>
      <w:tr>
        <w:tc>
          <w:tcPr>
            <w:tcW w:type="dxa" w:w="244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Document version</w:t>
            </w:r>
          </w:p>
        </w:tc>
        <w:tc>
          <w:tcPr>
            <w:tcW w:type="dxa" w:w="705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1.0</w:t>
            </w:r>
          </w:p>
        </w:tc>
      </w:tr>
      <w:tr>
        <w:tc>
          <w:tcPr>
            <w:tcW w:type="dxa" w:w="2448"/>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Prepared on</w:t>
            </w:r>
          </w:p>
        </w:tc>
        <w:tc>
          <w:tcPr>
            <w:tcW w:type="dxa" w:w="705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7 September 2026</w:t>
            </w:r>
          </w:p>
        </w:tc>
      </w:tr>
      <w:tr>
        <w:tc>
          <w:tcPr>
            <w:tcW w:type="dxa" w:w="244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Sprint state</w:t>
            </w:r>
          </w:p>
        </w:tc>
        <w:tc>
          <w:tcPr>
            <w:tcW w:type="dxa" w:w="705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Closed with documented follow up items</w:t>
            </w:r>
          </w:p>
        </w:tc>
      </w:tr>
      <w:tr>
        <w:tc>
          <w:tcPr>
            <w:tcW w:type="dxa" w:w="2448"/>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Classification</w:t>
            </w:r>
          </w:p>
        </w:tc>
        <w:tc>
          <w:tcPr>
            <w:tcW w:type="dxa" w:w="705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Project documentation</w:t>
            </w:r>
          </w:p>
        </w:tc>
      </w:tr>
      <w:tr>
        <w:tc>
          <w:tcPr>
            <w:tcW w:type="dxa" w:w="244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Change rule</w:t>
            </w:r>
          </w:p>
        </w:tc>
        <w:tc>
          <w:tcPr>
            <w:tcW w:type="dxa" w:w="705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Update this document when Jira acceptance criteria, repository implementation, or deployment evidence changes</w:t>
            </w:r>
          </w:p>
        </w:tc>
      </w:tr>
    </w:tbl>
    <w:p>
      <w:pPr>
        <w:spacing w:after="20"/>
      </w:pPr>
    </w:p>
    <w:p>
      <w:pPr>
        <w:pStyle w:val="Heading2"/>
      </w:pPr>
      <w:r>
        <w:t>How to read this document</w:t>
      </w:r>
    </w:p>
    <w:p>
      <w:r>
        <w:t>Verified means the repository or recorded staging evidence demonstrates the stated result. Implemented means code or configuration exists but the full runtime path was not demonstrated. Planned or deferred means the item remains outside the verified Sprint 1 boundary.</w:t>
      </w:r>
    </w:p>
    <w:p>
      <w:pPr>
        <w:pStyle w:val="Heading1"/>
      </w:pPr>
      <w:r>
        <w:t>Contents</w:t>
      </w:r>
    </w:p>
    <w:p>
      <w:r>
        <w:fldChar w:fldCharType="begin"/>
        <w:instrText xml:space="preserve">TOC \o "1-3" \h \z \u</w:instrText>
        <w:fldChar w:fldCharType="separate">
          <w:t>Open in Word and update this field to refresh the contents</w:t>
        </w:fldChar>
        <w:fldChar w:fldCharType="end"/>
      </w:r>
    </w:p>
    <w:p>
      <w:r>
        <w:br w:type="page"/>
      </w:r>
    </w:p>
    <w:p>
      <w:pPr>
        <w:pStyle w:val="Heading1"/>
      </w:pPr>
      <w:r>
        <w:t>Delivery objective</w:t>
      </w:r>
    </w:p>
    <w:p>
      <w:r>
        <w:t>Each ASSMS repository validates only the affected code, produces evidence before promotion and deploys a traceable source revision. The workflow uses GitHub Actions for automation and Azure workload identity federation for cloud access.</w:t>
      </w:r>
    </w:p>
    <w:p>
      <w:pPr>
        <w:jc w:val="center"/>
      </w:pPr>
      <w:r>
        <w:drawing>
          <wp:inline xmlns:a="http://schemas.openxmlformats.org/drawingml/2006/main" xmlns:pic="http://schemas.openxmlformats.org/drawingml/2006/picture">
            <wp:extent cx="6172200" cy="2777490"/>
            <wp:docPr id="1" name="Picture 1"/>
            <wp:cNvGraphicFramePr>
              <a:graphicFrameLocks noChangeAspect="1"/>
            </wp:cNvGraphicFramePr>
            <a:graphic>
              <a:graphicData uri="http://schemas.openxmlformats.org/drawingml/2006/picture">
                <pic:pic>
                  <pic:nvPicPr>
                    <pic:cNvPr id="0" name="cicd.png"/>
                    <pic:cNvPicPr/>
                  </pic:nvPicPr>
                  <pic:blipFill>
                    <a:blip r:embed="rId11"/>
                    <a:stretch>
                      <a:fillRect/>
                    </a:stretch>
                  </pic:blipFill>
                  <pic:spPr>
                    <a:xfrm>
                      <a:off x="0" y="0"/>
                      <a:ext cx="6172200" cy="2777490"/>
                    </a:xfrm>
                    <a:prstGeom prst="rect"/>
                  </pic:spPr>
                </pic:pic>
              </a:graphicData>
            </a:graphic>
          </wp:inline>
        </w:drawing>
      </w:r>
    </w:p>
    <w:p>
      <w:pPr>
        <w:pStyle w:val="Caption"/>
        <w:jc w:val="center"/>
      </w:pPr>
      <w:r>
        <w:t>Figure 1  Delivery control flow</w:t>
      </w:r>
    </w:p>
    <w:p>
      <w:pPr>
        <w:pStyle w:val="Heading1"/>
      </w:pPr>
      <w:r>
        <w:t>Repository workflow matrix</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016"/>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4"/>
              </w:rPr>
              <w:t>Repository</w:t>
            </w:r>
          </w:p>
        </w:tc>
        <w:tc>
          <w:tcPr>
            <w:tcW w:type="dxa" w:w="2736"/>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4"/>
              </w:rPr>
              <w:t>Continuous integration</w:t>
            </w:r>
          </w:p>
        </w:tc>
        <w:tc>
          <w:tcPr>
            <w:tcW w:type="dxa" w:w="2592"/>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4"/>
              </w:rPr>
              <w:t>Staging delivery</w:t>
            </w:r>
          </w:p>
        </w:tc>
        <w:tc>
          <w:tcPr>
            <w:tcW w:type="dxa" w:w="2232"/>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4"/>
              </w:rPr>
              <w:t>Sprint 1 evidence</w:t>
            </w:r>
          </w:p>
        </w:tc>
      </w:tr>
      <w:tr>
        <w:tc>
          <w:tcPr>
            <w:tcW w:type="dxa" w:w="201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Customer and Asset</w:t>
            </w:r>
          </w:p>
        </w:tc>
        <w:tc>
          <w:tcPr>
            <w:tcW w:type="dxa" w:w="273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Terraform checks, .NET restore, build, tests and coverage</w:t>
            </w:r>
          </w:p>
        </w:tc>
        <w:tc>
          <w:tcPr>
            <w:tcW w:type="dxa" w:w="2592"/>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Reusable staging CD after successful dev CI</w:t>
            </w:r>
          </w:p>
        </w:tc>
        <w:tc>
          <w:tcPr>
            <w:tcW w:type="dxa" w:w="2232"/>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Successful customer, asset and frontend deployment path recorded</w:t>
            </w:r>
          </w:p>
        </w:tc>
      </w:tr>
      <w:tr>
        <w:tc>
          <w:tcPr>
            <w:tcW w:type="dxa" w:w="201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Job</w:t>
            </w:r>
          </w:p>
        </w:tc>
        <w:tc>
          <w:tcPr>
            <w:tcW w:type="dxa" w:w="273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Terraform checks, .NET build, tests and coverage</w:t>
            </w:r>
          </w:p>
        </w:tc>
        <w:tc>
          <w:tcPr>
            <w:tcW w:type="dxa" w:w="2592"/>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Reusable staging CD after successful dev CI</w:t>
            </w:r>
          </w:p>
        </w:tc>
        <w:tc>
          <w:tcPr>
            <w:tcW w:type="dxa" w:w="2232"/>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Manual staging verification strong; final workflow run not confirmed</w:t>
            </w:r>
          </w:p>
        </w:tc>
      </w:tr>
      <w:tr>
        <w:tc>
          <w:tcPr>
            <w:tcW w:type="dxa" w:w="201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Dispatch</w:t>
            </w:r>
          </w:p>
        </w:tc>
        <w:tc>
          <w:tcPr>
            <w:tcW w:type="dxa" w:w="273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Terraform checks, .NET build, tests and coverage</w:t>
            </w:r>
          </w:p>
        </w:tc>
        <w:tc>
          <w:tcPr>
            <w:tcW w:type="dxa" w:w="2592"/>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No application CD in Sprint 1</w:t>
            </w:r>
          </w:p>
        </w:tc>
        <w:tc>
          <w:tcPr>
            <w:tcW w:type="dxa" w:w="2232"/>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Appropriate for foundation only scope</w:t>
            </w:r>
          </w:p>
        </w:tc>
      </w:tr>
      <w:tr>
        <w:tc>
          <w:tcPr>
            <w:tcW w:type="dxa" w:w="201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Reporting</w:t>
            </w:r>
          </w:p>
        </w:tc>
        <w:tc>
          <w:tcPr>
            <w:tcW w:type="dxa" w:w="273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Terraform checks, .NET build, tests and coverage</w:t>
            </w:r>
          </w:p>
        </w:tc>
        <w:tc>
          <w:tcPr>
            <w:tcW w:type="dxa" w:w="2592"/>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Reusable staging CD after successful dev CI</w:t>
            </w:r>
          </w:p>
        </w:tc>
        <w:tc>
          <w:tcPr>
            <w:tcW w:type="dxa" w:w="2232"/>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Manual staging verification strong; final workflow run not confirmed</w:t>
            </w:r>
          </w:p>
        </w:tc>
      </w:tr>
      <w:tr>
        <w:tc>
          <w:tcPr>
            <w:tcW w:type="dxa" w:w="201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Frontend</w:t>
            </w:r>
          </w:p>
        </w:tc>
        <w:tc>
          <w:tcPr>
            <w:tcW w:type="dxa" w:w="273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Terraform checks, Node install, lint and production build</w:t>
            </w:r>
          </w:p>
        </w:tc>
        <w:tc>
          <w:tcPr>
            <w:tcW w:type="dxa" w:w="2592"/>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ZIP deployment to Azure App Service</w:t>
            </w:r>
          </w:p>
        </w:tc>
        <w:tc>
          <w:tcPr>
            <w:tcW w:type="dxa" w:w="2232"/>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Production build, routes, API URL and CORS verified</w:t>
            </w:r>
          </w:p>
        </w:tc>
      </w:tr>
      <w:tr>
        <w:tc>
          <w:tcPr>
            <w:tcW w:type="dxa" w:w="201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Platform infrastructure</w:t>
            </w:r>
          </w:p>
        </w:tc>
        <w:tc>
          <w:tcPr>
            <w:tcW w:type="dxa" w:w="273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Terraform formatting, initialization and validation</w:t>
            </w:r>
          </w:p>
        </w:tc>
        <w:tc>
          <w:tcPr>
            <w:tcW w:type="dxa" w:w="2592"/>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Operator controlled infrastructure apply</w:t>
            </w:r>
          </w:p>
        </w:tc>
        <w:tc>
          <w:tcPr>
            <w:tcW w:type="dxa" w:w="2232"/>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Foundation resources recorded</w:t>
            </w:r>
          </w:p>
        </w:tc>
      </w:tr>
    </w:tbl>
    <w:p>
      <w:pPr>
        <w:spacing w:after="20"/>
      </w:pPr>
    </w:p>
    <w:p>
      <w:pPr>
        <w:pStyle w:val="Heading1"/>
      </w:pPr>
      <w:r>
        <w:t>Continuous integration controls</w:t>
      </w:r>
    </w:p>
    <w:p>
      <w:pPr>
        <w:pStyle w:val="ListBullet"/>
        <w:spacing w:after="40"/>
      </w:pPr>
      <w:r>
        <w:t>Pull requests and pushes to dev or main trigger path filtered workflows.</w:t>
      </w:r>
    </w:p>
    <w:p>
      <w:pPr>
        <w:pStyle w:val="ListBullet"/>
        <w:spacing w:after="40"/>
      </w:pPr>
      <w:r>
        <w:t>Backend jobs install .NET 8, restore dependencies, build Release, run tests and collect XPlat coverage.</w:t>
      </w:r>
    </w:p>
    <w:p>
      <w:pPr>
        <w:pStyle w:val="ListBullet"/>
        <w:spacing w:after="40"/>
      </w:pPr>
      <w:r>
        <w:t>Frontend jobs install Node 24 dependencies with npm ci, run lint and create a production build.</w:t>
      </w:r>
    </w:p>
    <w:p>
      <w:pPr>
        <w:pStyle w:val="ListBullet"/>
        <w:spacing w:after="40"/>
      </w:pPr>
      <w:r>
        <w:t>Terraform jobs run format checks, initialize without a remote backend and validate staging and production configuration.</w:t>
      </w:r>
    </w:p>
    <w:p>
      <w:pPr>
        <w:pStyle w:val="ListBullet"/>
        <w:spacing w:after="40"/>
      </w:pPr>
      <w:r>
        <w:t>Workflow artifacts are retained for 14 days to support review and diagnosis.</w:t>
      </w:r>
    </w:p>
    <w:p>
      <w:r>
        <w:br w:type="page"/>
      </w:r>
    </w:p>
    <w:p>
      <w:pPr>
        <w:pStyle w:val="Heading1"/>
      </w:pPr>
      <w:r>
        <w:t>Backend staging deployment</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792"/>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Step</w:t>
            </w:r>
          </w:p>
        </w:tc>
        <w:tc>
          <w:tcPr>
            <w:tcW w:type="dxa" w:w="5256"/>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Control</w:t>
            </w:r>
          </w:p>
        </w:tc>
        <w:tc>
          <w:tcPr>
            <w:tcW w:type="dxa" w:w="3888"/>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Expected evidence</w:t>
            </w:r>
          </w:p>
        </w:tc>
      </w:tr>
      <w:tr>
        <w:tc>
          <w:tcPr>
            <w:tcW w:type="dxa" w:w="792"/>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1</w:t>
            </w:r>
          </w:p>
        </w:tc>
        <w:tc>
          <w:tcPr>
            <w:tcW w:type="dxa" w:w="525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Run only after successful CI on dev</w:t>
            </w:r>
          </w:p>
        </w:tc>
        <w:tc>
          <w:tcPr>
            <w:tcW w:type="dxa" w:w="388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Linked workflow run and exact source SHA</w:t>
            </w:r>
          </w:p>
        </w:tc>
      </w:tr>
      <w:tr>
        <w:tc>
          <w:tcPr>
            <w:tcW w:type="dxa" w:w="792"/>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2</w:t>
            </w:r>
          </w:p>
        </w:tc>
        <w:tc>
          <w:tcPr>
            <w:tcW w:type="dxa" w:w="525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Build a linux arm64 image from github.sha</w:t>
            </w:r>
          </w:p>
        </w:tc>
        <w:tc>
          <w:tcPr>
            <w:tcW w:type="dxa" w:w="3888"/>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Image label or archive associated with the commit</w:t>
            </w:r>
          </w:p>
        </w:tc>
      </w:tr>
      <w:tr>
        <w:tc>
          <w:tcPr>
            <w:tcW w:type="dxa" w:w="792"/>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3</w:t>
            </w:r>
          </w:p>
        </w:tc>
        <w:tc>
          <w:tcPr>
            <w:tcW w:type="dxa" w:w="525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Authenticate to Azure with OIDC</w:t>
            </w:r>
          </w:p>
        </w:tc>
        <w:tc>
          <w:tcPr>
            <w:tcW w:type="dxa" w:w="388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Federated identity login without a client secret</w:t>
            </w:r>
          </w:p>
        </w:tc>
      </w:tr>
      <w:tr>
        <w:tc>
          <w:tcPr>
            <w:tcW w:type="dxa" w:w="792"/>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4</w:t>
            </w:r>
          </w:p>
        </w:tc>
        <w:tc>
          <w:tcPr>
            <w:tcW w:type="dxa" w:w="525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Add the runner public IP as a temporary SSH rule</w:t>
            </w:r>
          </w:p>
        </w:tc>
        <w:tc>
          <w:tcPr>
            <w:tcW w:type="dxa" w:w="3888"/>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Time bounded NSG rule with configured priority</w:t>
            </w:r>
          </w:p>
        </w:tc>
      </w:tr>
      <w:tr>
        <w:tc>
          <w:tcPr>
            <w:tcW w:type="dxa" w:w="792"/>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5</w:t>
            </w:r>
          </w:p>
        </w:tc>
        <w:tc>
          <w:tcPr>
            <w:tcW w:type="dxa" w:w="525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Verify strict SSH known hosts and transfer the image archive</w:t>
            </w:r>
          </w:p>
        </w:tc>
        <w:tc>
          <w:tcPr>
            <w:tcW w:type="dxa" w:w="388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Host identity check and successful load on the VM</w:t>
            </w:r>
          </w:p>
        </w:tc>
      </w:tr>
      <w:tr>
        <w:tc>
          <w:tcPr>
            <w:tcW w:type="dxa" w:w="792"/>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6</w:t>
            </w:r>
          </w:p>
        </w:tc>
        <w:tc>
          <w:tcPr>
            <w:tcW w:type="dxa" w:w="525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Replace the service container using its protected environment file</w:t>
            </w:r>
          </w:p>
        </w:tc>
        <w:tc>
          <w:tcPr>
            <w:tcW w:type="dxa" w:w="3888"/>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Container bound to 127.0.0.1 port 8080</w:t>
            </w:r>
          </w:p>
        </w:tc>
      </w:tr>
      <w:tr>
        <w:tc>
          <w:tcPr>
            <w:tcW w:type="dxa" w:w="792"/>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7</w:t>
            </w:r>
          </w:p>
        </w:tc>
        <w:tc>
          <w:tcPr>
            <w:tcW w:type="dxa" w:w="525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Verify application and database health through HTTPS</w:t>
            </w:r>
          </w:p>
        </w:tc>
        <w:tc>
          <w:tcPr>
            <w:tcW w:type="dxa" w:w="388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HTTP 200 from health and database health</w:t>
            </w:r>
          </w:p>
        </w:tc>
      </w:tr>
      <w:tr>
        <w:tc>
          <w:tcPr>
            <w:tcW w:type="dxa" w:w="792"/>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8</w:t>
            </w:r>
          </w:p>
        </w:tc>
        <w:tc>
          <w:tcPr>
            <w:tcW w:type="dxa" w:w="525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Remove temporary network access in an always cleanup step</w:t>
            </w:r>
          </w:p>
        </w:tc>
        <w:tc>
          <w:tcPr>
            <w:tcW w:type="dxa" w:w="3888"/>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No residual runner SSH rule</w:t>
            </w:r>
          </w:p>
        </w:tc>
      </w:tr>
    </w:tbl>
    <w:p>
      <w:pPr>
        <w:spacing w:after="20"/>
      </w:pPr>
    </w:p>
    <w:p>
      <w:pPr>
        <w:pStyle w:val="Heading1"/>
      </w:pPr>
      <w:r>
        <w:t>Frontend staging deployment</w:t>
      </w:r>
    </w:p>
    <w:p>
      <w:pPr>
        <w:pStyle w:val="ListBullet"/>
        <w:spacing w:after="40"/>
      </w:pPr>
      <w:r>
        <w:t>Build the exact commit with the configured Vite customer API URL.</w:t>
      </w:r>
    </w:p>
    <w:p>
      <w:pPr>
        <w:pStyle w:val="ListBullet"/>
        <w:spacing w:after="40"/>
      </w:pPr>
      <w:r>
        <w:t>Package the dist directory as a ZIP and authenticate to Azure through OIDC.</w:t>
      </w:r>
    </w:p>
    <w:p>
      <w:pPr>
        <w:pStyle w:val="ListBullet"/>
        <w:spacing w:after="40"/>
      </w:pPr>
      <w:r>
        <w:t>Deploy to the staging Web App and configure the PM2 static server with SPA fallback.</w:t>
      </w:r>
    </w:p>
    <w:p>
      <w:pPr>
        <w:pStyle w:val="ListBullet"/>
        <w:spacing w:after="40"/>
      </w:pPr>
      <w:r>
        <w:t>Verify root HTTPS, application routes, embedded API configuration and cross origin API access.</w:t>
      </w:r>
    </w:p>
    <w:p>
      <w:pPr>
        <w:pStyle w:val="Heading1"/>
      </w:pPr>
      <w:r>
        <w:t>Configuration ownership</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2016"/>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Category</w:t>
            </w:r>
          </w:p>
        </w:tc>
        <w:tc>
          <w:tcPr>
            <w:tcW w:type="dxa" w:w="3456"/>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Examples</w:t>
            </w:r>
          </w:p>
        </w:tc>
        <w:tc>
          <w:tcPr>
            <w:tcW w:type="dxa" w:w="4176"/>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Handling</w:t>
            </w:r>
          </w:p>
        </w:tc>
      </w:tr>
      <w:tr>
        <w:tc>
          <w:tcPr>
            <w:tcW w:type="dxa" w:w="201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Azure identity</w:t>
            </w:r>
          </w:p>
        </w:tc>
        <w:tc>
          <w:tcPr>
            <w:tcW w:type="dxa" w:w="345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Client ID, tenant ID and subscription ID</w:t>
            </w:r>
          </w:p>
        </w:tc>
        <w:tc>
          <w:tcPr>
            <w:tcW w:type="dxa" w:w="417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GitHub environment variables; identity uses federated credentials</w:t>
            </w:r>
          </w:p>
        </w:tc>
      </w:tr>
      <w:tr>
        <w:tc>
          <w:tcPr>
            <w:tcW w:type="dxa" w:w="201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Deployment target</w:t>
            </w:r>
          </w:p>
        </w:tc>
        <w:tc>
          <w:tcPr>
            <w:tcW w:type="dxa" w:w="345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Resource group, VM host, NSG, App Service name and public API URL</w:t>
            </w:r>
          </w:p>
        </w:tc>
        <w:tc>
          <w:tcPr>
            <w:tcW w:type="dxa" w:w="417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Repository or environment variables</w:t>
            </w:r>
          </w:p>
        </w:tc>
      </w:tr>
      <w:tr>
        <w:tc>
          <w:tcPr>
            <w:tcW w:type="dxa" w:w="201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SSH trust</w:t>
            </w:r>
          </w:p>
        </w:tc>
        <w:tc>
          <w:tcPr>
            <w:tcW w:type="dxa" w:w="345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Deployment username and pinned known hosts</w:t>
            </w:r>
          </w:p>
        </w:tc>
        <w:tc>
          <w:tcPr>
            <w:tcW w:type="dxa" w:w="417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Variable or protected environment value; strict checking enabled</w:t>
            </w:r>
          </w:p>
        </w:tc>
      </w:tr>
      <w:tr>
        <w:tc>
          <w:tcPr>
            <w:tcW w:type="dxa" w:w="201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Private key</w:t>
            </w:r>
          </w:p>
        </w:tc>
        <w:tc>
          <w:tcPr>
            <w:tcW w:type="dxa" w:w="345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Service deployment SSH private key</w:t>
            </w:r>
          </w:p>
        </w:tc>
        <w:tc>
          <w:tcPr>
            <w:tcW w:type="dxa" w:w="417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GitHub environment secret</w:t>
            </w:r>
          </w:p>
        </w:tc>
      </w:tr>
      <w:tr>
        <w:tc>
          <w:tcPr>
            <w:tcW w:type="dxa" w:w="201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Application secrets</w:t>
            </w:r>
          </w:p>
        </w:tc>
        <w:tc>
          <w:tcPr>
            <w:tcW w:type="dxa" w:w="345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Database credentials and broker configuration</w:t>
            </w:r>
          </w:p>
        </w:tc>
        <w:tc>
          <w:tcPr>
            <w:tcW w:type="dxa" w:w="417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Protected VM environment file; never committed or printed</w:t>
            </w:r>
          </w:p>
        </w:tc>
      </w:tr>
    </w:tbl>
    <w:p>
      <w:pPr>
        <w:spacing w:after="20"/>
      </w:pPr>
    </w:p>
    <w:p>
      <w:pPr>
        <w:pStyle w:val="Heading1"/>
      </w:pPr>
      <w:r>
        <w:t>Branch and approval policy</w:t>
      </w:r>
    </w:p>
    <w:p>
      <w:pPr>
        <w:pStyle w:val="ListBullet"/>
        <w:spacing w:after="40"/>
      </w:pPr>
      <w:r>
        <w:t>Develop changes on a story or task branch and open a pull request into dev.</w:t>
      </w:r>
    </w:p>
    <w:p>
      <w:pPr>
        <w:pStyle w:val="ListBullet"/>
        <w:spacing w:after="40"/>
      </w:pPr>
      <w:r>
        <w:t>Require CI success and reviewer approval before merge.</w:t>
      </w:r>
    </w:p>
    <w:p>
      <w:pPr>
        <w:pStyle w:val="ListBullet"/>
        <w:spacing w:after="40"/>
      </w:pPr>
      <w:r>
        <w:t>Promote dev to staging automatically only for repositories whose staging CD is enabled.</w:t>
      </w:r>
    </w:p>
    <w:p>
      <w:pPr>
        <w:pStyle w:val="ListBullet"/>
        <w:spacing w:after="40"/>
      </w:pPr>
      <w:r>
        <w:t>Promote to main or production through a separate reviewed release process; Sprint 1 evidence covers staging only.</w:t>
      </w:r>
    </w:p>
    <w:p>
      <w:pPr>
        <w:pStyle w:val="ListBullet"/>
        <w:spacing w:after="40"/>
      </w:pPr>
      <w:r>
        <w:t>Record Jira key, commit SHA, workflow run and verification result in the release note or task.</w:t>
      </w:r>
    </w:p>
    <w:p>
      <w:pPr>
        <w:pStyle w:val="Heading1"/>
      </w:pPr>
      <w:r>
        <w:t>Failure handling and rollback</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2160"/>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Failure point</w:t>
            </w:r>
          </w:p>
        </w:tc>
        <w:tc>
          <w:tcPr>
            <w:tcW w:type="dxa" w:w="3600"/>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Automatic response</w:t>
            </w:r>
          </w:p>
        </w:tc>
        <w:tc>
          <w:tcPr>
            <w:tcW w:type="dxa" w:w="3888"/>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Operator action</w:t>
            </w:r>
          </w:p>
        </w:tc>
      </w:tr>
      <w:tr>
        <w:tc>
          <w:tcPr>
            <w:tcW w:type="dxa" w:w="216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Build or test</w:t>
            </w:r>
          </w:p>
        </w:tc>
        <w:tc>
          <w:tcPr>
            <w:tcW w:type="dxa" w:w="360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Workflow stops before deployment</w:t>
            </w:r>
          </w:p>
        </w:tc>
        <w:tc>
          <w:tcPr>
            <w:tcW w:type="dxa" w:w="388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Fix on the source branch and rerun CI</w:t>
            </w:r>
          </w:p>
        </w:tc>
      </w:tr>
      <w:tr>
        <w:tc>
          <w:tcPr>
            <w:tcW w:type="dxa" w:w="216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Azure login or authorization</w:t>
            </w:r>
          </w:p>
        </w:tc>
        <w:tc>
          <w:tcPr>
            <w:tcW w:type="dxa" w:w="360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Deployment stops without changing the service</w:t>
            </w:r>
          </w:p>
        </w:tc>
        <w:tc>
          <w:tcPr>
            <w:tcW w:type="dxa" w:w="3888"/>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Correct federation or scoped role assignment</w:t>
            </w:r>
          </w:p>
        </w:tc>
      </w:tr>
      <w:tr>
        <w:tc>
          <w:tcPr>
            <w:tcW w:type="dxa" w:w="216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SSH or transfer</w:t>
            </w:r>
          </w:p>
        </w:tc>
        <w:tc>
          <w:tcPr>
            <w:tcW w:type="dxa" w:w="360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Deployment stops and cleanup removes the temporary rule</w:t>
            </w:r>
          </w:p>
        </w:tc>
        <w:tc>
          <w:tcPr>
            <w:tcW w:type="dxa" w:w="388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Correct host, key or known hosts data and rerun</w:t>
            </w:r>
          </w:p>
        </w:tc>
      </w:tr>
      <w:tr>
        <w:tc>
          <w:tcPr>
            <w:tcW w:type="dxa" w:w="216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Health verification</w:t>
            </w:r>
          </w:p>
        </w:tc>
        <w:tc>
          <w:tcPr>
            <w:tcW w:type="dxa" w:w="360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Workflow fails after replacement</w:t>
            </w:r>
          </w:p>
        </w:tc>
        <w:tc>
          <w:tcPr>
            <w:tcW w:type="dxa" w:w="3888"/>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Inspect service logs, database connectivity and Nginx; redeploy the last known good SHA</w:t>
            </w:r>
          </w:p>
        </w:tc>
      </w:tr>
      <w:tr>
        <w:tc>
          <w:tcPr>
            <w:tcW w:type="dxa" w:w="216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Frontend route check</w:t>
            </w:r>
          </w:p>
        </w:tc>
        <w:tc>
          <w:tcPr>
            <w:tcW w:type="dxa" w:w="360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Workflow fails</w:t>
            </w:r>
          </w:p>
        </w:tc>
        <w:tc>
          <w:tcPr>
            <w:tcW w:type="dxa" w:w="388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Restore the last known good ZIP or correct SPA startup and redeploy</w:t>
            </w:r>
          </w:p>
        </w:tc>
      </w:tr>
    </w:tbl>
    <w:p>
      <w:pPr>
        <w:spacing w:after="20"/>
      </w:pPr>
    </w:p>
    <w:p>
      <w:pPr>
        <w:pStyle w:val="Heading1"/>
      </w:pPr>
      <w:r>
        <w:t>Evidence checklist</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2880"/>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Evidence</w:t>
            </w:r>
          </w:p>
        </w:tc>
        <w:tc>
          <w:tcPr>
            <w:tcW w:type="dxa" w:w="6768"/>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Required value</w:t>
            </w:r>
          </w:p>
        </w:tc>
      </w:tr>
      <w:tr>
        <w:tc>
          <w:tcPr>
            <w:tcW w:type="dxa" w:w="288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Source</w:t>
            </w:r>
          </w:p>
        </w:tc>
        <w:tc>
          <w:tcPr>
            <w:tcW w:type="dxa" w:w="676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Repository, branch and full commit SHA</w:t>
            </w:r>
          </w:p>
        </w:tc>
      </w:tr>
      <w:tr>
        <w:tc>
          <w:tcPr>
            <w:tcW w:type="dxa" w:w="288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Validation</w:t>
            </w:r>
          </w:p>
        </w:tc>
        <w:tc>
          <w:tcPr>
            <w:tcW w:type="dxa" w:w="6768"/>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CI run URL and successful jobs</w:t>
            </w:r>
          </w:p>
        </w:tc>
      </w:tr>
      <w:tr>
        <w:tc>
          <w:tcPr>
            <w:tcW w:type="dxa" w:w="288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Artifact</w:t>
            </w:r>
          </w:p>
        </w:tc>
        <w:tc>
          <w:tcPr>
            <w:tcW w:type="dxa" w:w="676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Exact SHA image or frontend ZIP</w:t>
            </w:r>
          </w:p>
        </w:tc>
      </w:tr>
      <w:tr>
        <w:tc>
          <w:tcPr>
            <w:tcW w:type="dxa" w:w="288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Deployment</w:t>
            </w:r>
          </w:p>
        </w:tc>
        <w:tc>
          <w:tcPr>
            <w:tcW w:type="dxa" w:w="6768"/>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CD run URL or operator command record</w:t>
            </w:r>
          </w:p>
        </w:tc>
      </w:tr>
      <w:tr>
        <w:tc>
          <w:tcPr>
            <w:tcW w:type="dxa" w:w="288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Runtime</w:t>
            </w:r>
          </w:p>
        </w:tc>
        <w:tc>
          <w:tcPr>
            <w:tcW w:type="dxa" w:w="676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Public HTTPS URL, health result and representative acceptance tests</w:t>
            </w:r>
          </w:p>
        </w:tc>
      </w:tr>
      <w:tr>
        <w:tc>
          <w:tcPr>
            <w:tcW w:type="dxa" w:w="288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Cleanup</w:t>
            </w:r>
          </w:p>
        </w:tc>
        <w:tc>
          <w:tcPr>
            <w:tcW w:type="dxa" w:w="6768"/>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Temporary SSH rule removed</w:t>
            </w:r>
          </w:p>
        </w:tc>
      </w:tr>
      <w:tr>
        <w:tc>
          <w:tcPr>
            <w:tcW w:type="dxa" w:w="288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Boundary</w:t>
            </w:r>
          </w:p>
        </w:tc>
        <w:tc>
          <w:tcPr>
            <w:tcW w:type="dxa" w:w="676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Any deferred Kafka, data projection, monitoring or migration verification</w:t>
            </w:r>
          </w:p>
        </w:tc>
      </w:tr>
    </w:tbl>
    <w:p>
      <w:pPr>
        <w:spacing w:after="20"/>
      </w:pPr>
    </w:p>
    <w:p>
      <w:pPr>
        <w:pStyle w:val="Heading1"/>
      </w:pPr>
      <w:r>
        <w:t>Current limitations</w:t>
      </w:r>
    </w:p>
    <w:tbl>
      <w:tblPr>
        <w:tblW w:type="auto" w:w="0"/>
        <w:tblLayout w:type="fixed"/>
        <w:tblLook w:firstColumn="1" w:firstRow="1" w:lastColumn="0" w:lastRow="0" w:noHBand="0" w:noVBand="1" w:val="04A0"/>
      </w:tblPr>
      <w:tblGrid>
        <w:gridCol w:w="4917"/>
        <w:gridCol w:w="4917"/>
      </w:tblGrid>
      <w:tr>
        <w:tc>
          <w:tcPr>
            <w:tcW w:type="dxa" w:w="1800"/>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rPr>
              <w:t>Confirmed</w:t>
            </w:r>
          </w:p>
        </w:tc>
        <w:tc>
          <w:tcPr>
            <w:tcW w:type="dxa" w:w="7704"/>
            <w:shd w:fill="E2F0D9"/>
            <w:tcBorders>
              <w:top w:val="single" w:sz="4" w:color="CDD5DF"/>
              <w:left w:val="single" w:sz="4" w:color="CDD5DF"/>
              <w:bottom w:val="single" w:sz="4" w:color="CDD5DF"/>
              <w:right w:val="single" w:sz="4" w:color="CDD5DF"/>
              <w:insideH w:val="single" w:sz="4" w:color="CDD5DF"/>
              <w:insideV w:val="single" w:sz="4" w:color="CDD5DF"/>
            </w:tcBorders>
          </w:tcPr>
          <w:p>
            <w:r>
              <w:t>Customer and frontend continuous delivery was demonstrated. All repositories contain continuous integration definitions.</w:t>
            </w:r>
          </w:p>
        </w:tc>
      </w:tr>
    </w:tbl>
    <w:p>
      <w:pPr>
        <w:spacing w:after="20"/>
      </w:pPr>
    </w:p>
    <w:tbl>
      <w:tblPr>
        <w:tblW w:type="auto" w:w="0"/>
        <w:tblLayout w:type="fixed"/>
        <w:tblLook w:firstColumn="1" w:firstRow="1" w:lastColumn="0" w:lastRow="0" w:noHBand="0" w:noVBand="1" w:val="04A0"/>
      </w:tblPr>
      <w:tblGrid>
        <w:gridCol w:w="4917"/>
        <w:gridCol w:w="4917"/>
      </w:tblGrid>
      <w:tr>
        <w:tc>
          <w:tcPr>
            <w:tcW w:type="dxa" w:w="1800"/>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rPr>
              <w:t>Open</w:t>
            </w:r>
          </w:p>
        </w:tc>
        <w:tc>
          <w:tcPr>
            <w:tcW w:type="dxa" w:w="7704"/>
            <w:shd w:fill="FFF2CC"/>
            <w:tcBorders>
              <w:top w:val="single" w:sz="4" w:color="CDD5DF"/>
              <w:left w:val="single" w:sz="4" w:color="CDD5DF"/>
              <w:bottom w:val="single" w:sz="4" w:color="CDD5DF"/>
              <w:right w:val="single" w:sz="4" w:color="CDD5DF"/>
              <w:insideH w:val="single" w:sz="4" w:color="CDD5DF"/>
              <w:insideV w:val="single" w:sz="4" w:color="CDD5DF"/>
            </w:tcBorders>
          </w:tcPr>
          <w:p>
            <w:r>
              <w:t>A final successful GitHub Actions staging CD run for Job and Reporting was not confirmed in the reviewed evidence. Their manual staging deployments passed the documented API checks.</w:t>
            </w:r>
          </w:p>
        </w:tc>
      </w:tr>
    </w:tbl>
    <w:p>
      <w:pPr>
        <w:spacing w:after="20"/>
      </w:pPr>
    </w:p>
    <w:p>
      <w:pPr>
        <w:pStyle w:val="Heading1"/>
      </w:pPr>
      <w:r>
        <w:t>Source register</w:t>
      </w:r>
    </w:p>
    <w:p>
      <w:pPr>
        <w:pStyle w:val="ListBullet"/>
        <w:spacing w:after="40"/>
      </w:pPr>
      <w:r>
        <w:t>GitHub Actions workflow files under each repository .github/workflows directory.</w:t>
      </w:r>
    </w:p>
    <w:p>
      <w:pPr>
        <w:pStyle w:val="ListBullet"/>
        <w:spacing w:after="40"/>
      </w:pPr>
      <w:r>
        <w:t>Terraform configuration under each repository infrastructure directory.</w:t>
      </w:r>
    </w:p>
    <w:p>
      <w:pPr>
        <w:pStyle w:val="ListBullet"/>
        <w:spacing w:after="40"/>
      </w:pPr>
      <w:r>
        <w:t>Recorded staging deployment and API smoke evidence associated with ASSMS-210, ASSMS-3 and ASSMS-4.</w:t>
      </w:r>
    </w:p>
    <w:p>
      <w:pPr>
        <w:pStyle w:val="ListBullet"/>
        <w:spacing w:after="40"/>
      </w:pPr>
      <w:r>
        <w:t>Jira foundation task ASSMS-16 for CI and ASSMS-17 for Azure deployment.</w:t>
      </w:r>
    </w:p>
    <w:sectPr w:rsidR="00FC693F" w:rsidRPr="0006063C" w:rsidSect="00034616">
      <w:headerReference w:type="default" r:id="rId9"/>
      <w:footerReference w:type="default" r:id="rId10"/>
      <w:pgSz w:w="11909" w:h="16834"/>
      <w:pgMar w:top="1037"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67085"/>
        <w:sz w:val="16"/>
      </w:rPr>
      <w:t>ASSMS   Sprint 1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5324B"/>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F766E"/>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5324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Pr>
    <w:rPr>
      <w:rFonts w:asciiTheme="majorHAnsi" w:eastAsiaTheme="majorEastAsia" w:hAnsiTheme="majorHAnsi" w:cstheme="majorBidi" w:ascii="Aptos Display" w:hAnsi="Aptos Display"/>
      <w:b/>
      <w:color w:val="17212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ASSMS Sprint 1 CI CD Workflow</dc:title>
  <dc:subject>ASSMS Sprint 1 documentation</dc:subject>
  <dc:creator>ASSMS project team</dc:creator>
  <cp:keywords>ASSMS, Sprint 1, requirements, architecture, CI CD, Azure</cp:keywords>
  <dc:description>generated by python-docx</dc:description>
  <cp:lastModifiedBy/>
  <cp:revision>1</cp:revision>
  <dcterms:created xsi:type="dcterms:W3CDTF">2013-12-23T23:15:00Z</dcterms:created>
  <dcterms:modified xsi:type="dcterms:W3CDTF">2013-12-23T23:15:00Z</dcterms:modified>
  <cp:category/>
</cp:coreProperties>
</file>