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widowControl/>
        <w:suppressLineNumbers w:val="0"/>
        <w:bidi w:val="0"/>
        <w:spacing w:before="0" w:after="100"/>
        <w:ind w:hanging="0" w:start="0"/>
        <w:rPr/>
      </w:pPr>
      <w:r>
        <w:rPr/>
        <w:t>Security Requirements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1. Authentication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239"/>
        <w:gridCol w:w="6114"/>
        <w:gridCol w:w="1043"/>
      </w:tblGrid>
      <w:tr>
        <w:trPr>
          <w:tblHeader w:val="true"/>
        </w:trPr>
        <w:tc>
          <w:tcPr>
            <w:tcW w:w="123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Requirement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>
        <w:trPr/>
        <w:tc>
          <w:tcPr>
            <w:tcW w:w="123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AST-SEC-REQ-01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The system shall require authentication before accessing protected resources.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23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AST-SEC-REQ-02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The system shall reject invalid or expired authentication tokens.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23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AST-SEC-REQ-03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Passwords shall never be stored in plaintext.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23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AST-SEC-REQ-04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Authentication credentials and tokens shall not be stored in application logs.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2. Authorization and RBAC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130"/>
        <w:gridCol w:w="6223"/>
        <w:gridCol w:w="1043"/>
      </w:tblGrid>
      <w:tr>
        <w:trPr>
          <w:tblHeader w:val="true"/>
        </w:trPr>
        <w:tc>
          <w:tcPr>
            <w:tcW w:w="11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Requirement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>
        <w:trPr/>
        <w:tc>
          <w:tcPr>
            <w:tcW w:w="11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AST-SEC-REQ-05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The system shall enforce role-based access control on the backend.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1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AST-SEC-REQ-06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Each API endpoint shall require the appropriate permission for the requested action.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1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AST-SEC-REQ-07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Users shall not be able to perform actions outside their assigned role permissions.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1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AST-SEC-REQ-08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Authorization shall be enforced independently of frontend visibility or UI restrictions.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1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AST-SEC-REQ-09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Users shall not be able to modify their own role or permissions unless explicitly authorized.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3. Organizational Scope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212"/>
        <w:gridCol w:w="6141"/>
        <w:gridCol w:w="1043"/>
      </w:tblGrid>
      <w:tr>
        <w:trPr>
          <w:tblHeader w:val="true"/>
        </w:trPr>
        <w:tc>
          <w:tcPr>
            <w:tcW w:w="121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Requirement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>
        <w:trPr/>
        <w:tc>
          <w:tcPr>
            <w:tcW w:w="121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AST-SEC-REQ-10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Users shall access only resources within their assigned organizational scope.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21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AST-SEC-REQ-11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Access to child organizational units shall follow the assigned parent scope.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21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AST-SEC-REQ-12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Users shall not access resources belonging to unrelated or sibling organizations.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21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AST-SEC-REQ-13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Organizational scope shall be enforced by the backend.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21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AST-SEC-REQ-14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Users shall not be able to modify their own organizational scope.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4. Asset and Custody Security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106"/>
        <w:gridCol w:w="6247"/>
        <w:gridCol w:w="1043"/>
      </w:tblGrid>
      <w:tr>
        <w:trPr>
          <w:tblHeader w:val="true"/>
        </w:trPr>
        <w:tc>
          <w:tcPr>
            <w:tcW w:w="110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Requirement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>
        <w:trPr/>
        <w:tc>
          <w:tcPr>
            <w:tcW w:w="110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AST-SEC-REQ-15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modifications shall be restricted to authorized roles.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10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AST-SEC-REQ-16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transfers shall be restricted to authorized users and shall require an authenticated actor.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10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AST-SEC-REQ-17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retirement shall require appropriate authorization and approval.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10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AST-SEC-REQ-18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Custody and transfer history shall not be silently modified or deleted.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10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AST-SEC-REQ-19</w:t>
            </w:r>
          </w:p>
        </w:tc>
        <w:tc>
          <w:tcPr>
            <w:tcW w:w="624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retirement shall not remove the asset from historical or audit records.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5. Financial and Procurement Data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99"/>
        <w:gridCol w:w="6254"/>
        <w:gridCol w:w="1043"/>
      </w:tblGrid>
      <w:tr>
        <w:trPr>
          <w:tblHeader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Requirement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AST-SEC-REQ-20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Access to invoices and financial data shall be restricted to authorized roles.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AST-SEC-REQ-21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access shall not automatically grant access to financial information.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AST-SEC-REQ-22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Procurement documents shall be accessible only within the user's authorized organizational scope.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AST-SEC-REQ-23</w:t>
            </w:r>
          </w:p>
        </w:tc>
        <w:tc>
          <w:tcPr>
            <w:tcW w:w="625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Financial and procurement access shall be enforced by the backend.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6. File and Attachment Security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248"/>
        <w:gridCol w:w="6105"/>
        <w:gridCol w:w="1043"/>
      </w:tblGrid>
      <w:tr>
        <w:trPr>
          <w:tblHeader w:val="true"/>
        </w:trPr>
        <w:tc>
          <w:tcPr>
            <w:tcW w:w="124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610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Requirement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>
        <w:trPr/>
        <w:tc>
          <w:tcPr>
            <w:tcW w:w="124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AST-SEC-REQ-24</w:t>
            </w:r>
          </w:p>
        </w:tc>
        <w:tc>
          <w:tcPr>
            <w:tcW w:w="610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Invoice and warranty attachments shall be stored in private storage.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24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AST-SEC-REQ-25</w:t>
            </w:r>
          </w:p>
        </w:tc>
        <w:tc>
          <w:tcPr>
            <w:tcW w:w="610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File uploads shall be validated for allowed type and size.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24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AST-SEC-REQ-26</w:t>
            </w:r>
          </w:p>
        </w:tc>
        <w:tc>
          <w:tcPr>
            <w:tcW w:w="610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Attachment downloads shall require authorization.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24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AST-SEC-REQ-27</w:t>
            </w:r>
          </w:p>
        </w:tc>
        <w:tc>
          <w:tcPr>
            <w:tcW w:w="610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Attachment access shall use controlled or short-lived download authorization.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7. Audit and Logging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56"/>
        <w:gridCol w:w="6297"/>
        <w:gridCol w:w="1043"/>
      </w:tblGrid>
      <w:tr>
        <w:trPr>
          <w:tblHeader w:val="true"/>
        </w:trPr>
        <w:tc>
          <w:tcPr>
            <w:tcW w:w="105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629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Requirement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>
        <w:trPr/>
        <w:tc>
          <w:tcPr>
            <w:tcW w:w="105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AST-SEC-REQ-28</w:t>
            </w:r>
          </w:p>
        </w:tc>
        <w:tc>
          <w:tcPr>
            <w:tcW w:w="629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Critical actions shall generate audit events containing the actor and timestamp.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05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AST-SEC-REQ-29</w:t>
            </w:r>
          </w:p>
        </w:tc>
        <w:tc>
          <w:tcPr>
            <w:tcW w:w="629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transfers, custody changes, retirement, permission changes, and security events shall be auditable.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05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AST-SEC-REQ-30</w:t>
            </w:r>
          </w:p>
        </w:tc>
        <w:tc>
          <w:tcPr>
            <w:tcW w:w="629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Audit records shall be protected from unauthorized modification or deletion.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05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AST-SEC-REQ-31</w:t>
            </w:r>
          </w:p>
        </w:tc>
        <w:tc>
          <w:tcPr>
            <w:tcW w:w="6297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Logs shall not contain passwords, authentication tokens, or unnecessary sensitive data.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8. API and Application Security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84"/>
        <w:gridCol w:w="6369"/>
        <w:gridCol w:w="1043"/>
      </w:tblGrid>
      <w:tr>
        <w:trPr>
          <w:tblHeader w:val="true"/>
        </w:trPr>
        <w:tc>
          <w:tcPr>
            <w:tcW w:w="98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63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Requirement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AST-SEC-REQ-32</w:t>
            </w:r>
          </w:p>
        </w:tc>
        <w:tc>
          <w:tcPr>
            <w:tcW w:w="63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API endpoints shall validate authentication and authorization before performing protected operations.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AST-SEC-REQ-33</w:t>
            </w:r>
          </w:p>
        </w:tc>
        <w:tc>
          <w:tcPr>
            <w:tcW w:w="63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Resource-level authorization shall be enforced for objects such as assets, invoices, work orders, and documents.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AST-SEC-REQ-34</w:t>
            </w:r>
          </w:p>
        </w:tc>
        <w:tc>
          <w:tcPr>
            <w:tcW w:w="63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User-controlled input shall be validated before processing.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AST-SEC-REQ-35</w:t>
            </w:r>
          </w:p>
        </w:tc>
        <w:tc>
          <w:tcPr>
            <w:tcW w:w="63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Database queries shall use parameterized queries or equivalent protection against injection attacks.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98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AST-SEC-REQ-36</w:t>
            </w:r>
          </w:p>
        </w:tc>
        <w:tc>
          <w:tcPr>
            <w:tcW w:w="63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Sensitive errors shall not expose credentials, tokens, internal database details, or other unnecessary system information.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9. AI / Risk Prediction Security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98"/>
        <w:gridCol w:w="6255"/>
        <w:gridCol w:w="1043"/>
      </w:tblGrid>
      <w:tr>
        <w:trPr>
          <w:tblHeader w:val="true"/>
        </w:trPr>
        <w:tc>
          <w:tcPr>
            <w:tcW w:w="10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Requirement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AST-SEC-REQ-37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AI predictions shall not automatically change asset or work-order state.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AST-SEC-REQ-38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AI-generated maintenance recommendations shall require human confirmation before action.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AST-SEC-REQ-39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AI model/version information and prediction events shall be logged.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>
        <w:trPr/>
        <w:tc>
          <w:tcPr>
            <w:tcW w:w="1098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AST-SEC-REQ-40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 deterministic non-AI fallback shall remain available if the prediction service is unavailable.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10. Client-Side Token Storage Security</w:t>
      </w:r>
    </w:p>
    <w:tbl>
      <w:tblPr>
        <w:tblW w:w="8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/>
      </w:tblPr>
      <w:tblGrid>
        <w:gridCol w:w="1098"/>
        <w:gridCol w:w="6255"/>
        <w:gridCol w:w="1043"/>
      </w:tblGrid>
      <w:tr>
        <w:tc>
          <w:tcPr>
            <w:tcW w:w="1098" w:type="dxa"/>
            <w:shd w:val="clear" w:color="auto" w:fill="4F81BD"/>
          </w:tcPr>
          <w:p>
            <w:pPr>
              <w:pStyle w:val="NormalWeb"/>
              <w:rPr>
                <w:rStyle w:val="Strong"/>
                <w:color w:val="FFFFFF"/>
              </w:rPr>
            </w:pPr>
            <w:r>
              <w:rPr>
                <w:rStyle w:val="Strong"/>
                <w:color w:val="FFFFFF"/>
              </w:rPr>
              <w:t>ID</w:t>
            </w:r>
          </w:p>
        </w:tc>
        <w:tc>
          <w:tcPr>
            <w:tcW w:w="6255" w:type="dxa"/>
            <w:shd w:val="clear" w:color="auto" w:fill="4F81BD"/>
          </w:tcPr>
          <w:p>
            <w:pPr>
              <w:pStyle w:val="NormalWeb"/>
              <w:rPr>
                <w:rStyle w:val="Strong"/>
                <w:color w:val="FFFFFF"/>
              </w:rPr>
            </w:pPr>
            <w:r>
              <w:rPr>
                <w:rStyle w:val="Strong"/>
                <w:color w:val="FFFFFF"/>
              </w:rPr>
              <w:t>Security Requirement</w:t>
            </w:r>
          </w:p>
        </w:tc>
        <w:tc>
          <w:tcPr>
            <w:tcW w:w="1043" w:type="dxa"/>
            <w:shd w:val="clear" w:color="auto" w:fill="4F81BD"/>
          </w:tcPr>
          <w:p>
            <w:pPr>
              <w:pStyle w:val="NormalWeb"/>
              <w:rPr>
                <w:rStyle w:val="Strong"/>
                <w:color w:val="FFFFFF"/>
              </w:rPr>
            </w:pPr>
            <w:r>
              <w:rPr>
                <w:rStyle w:val="Strong"/>
                <w:color w:val="FFFFFF"/>
              </w:rPr>
              <w:t>Priority</w:t>
            </w:r>
          </w:p>
        </w:tc>
      </w:tr>
      <w:tr>
        <w:tc>
          <w:tcPr>
            <w:tcW w:w="1098" w:type="dxa"/>
          </w:tcPr>
          <w:p>
            <w:pPr>
              <w:pStyle w:val="NormalWeb"/>
            </w:pPr>
            <w:r>
              <w:rPr/>
              <w:t>AST-SEC-REQ-41</w:t>
            </w:r>
          </w:p>
        </w:tc>
        <w:tc>
          <w:tcPr>
            <w:tcW w:w="6255" w:type="dxa"/>
          </w:tcPr>
          <w:p>
            <w:pPr>
              <w:pStyle w:val="NormalWeb"/>
            </w:pPr>
            <w:r>
              <w:rPr/>
              <w:t>Authentication tokens shall not be stored in insecure client storage. The Flutter mobile application must use flutter_secure_storage for all token storage and must not use SharedPreferences or any unencrypted local storage for tokens.</w:t>
            </w:r>
          </w:p>
        </w:tc>
        <w:tc>
          <w:tcPr>
            <w:tcW w:w="1043" w:type="dxa"/>
          </w:tcPr>
          <w:p>
            <w:pPr>
              <w:pStyle w:val="NormalWeb"/>
            </w:pPr>
            <w:r>
              <w:rPr/>
              <w:t>Must</w:t>
            </w:r>
          </w:p>
        </w:tc>
      </w:tr>
    </w:tbl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11. Security Acceptance Criteria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security implementation shall be considered acceptable when: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Authentication is required for all protected operations.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Backend authorization prevents unauthorized role actions.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Organizational scope prevents cross-organization access.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Financial and procurement data are protected from unauthorized roles.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Custody, transfer, and retirement history cannot be silently altered.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Critical security and business actions are auditable.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Protected files cannot be accessed without authorization.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Resource-level authorization cannot be bypassed by changing resource IDs.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AI predictions cannot automatically perform business actions.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start="720" w:end="0"/>
        <w:rPr/>
      </w:pPr>
      <w:r>
        <w:rPr/>
        <w:t>Security controls remain enforced even when the frontend is bypassed.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SimSun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等线;Microsoft YaHei" w:cs="Times New Roman"/>
      <w:color w:val="auto"/>
      <w:sz w:val="20"/>
      <w:szCs w:val="20"/>
      <w:lang w:val="en-US" w:eastAsia="zh-CN" w:bidi="ar-SA"/>
    </w:rPr>
  </w:style>
  <w:style w:type="paragraph" w:styleId="Heading1">
    <w:name w:val="Heading 1"/>
    <w:next w:val="Normal"/>
    <w:qFormat/>
    <w:pPr>
      <w:widowControl/>
      <w:numPr>
        <w:ilvl w:val="0"/>
        <w:numId w:val="1"/>
      </w:numPr>
      <w:bidi w:val="0"/>
      <w:spacing w:before="100" w:after="100"/>
      <w:jc w:val="start"/>
      <w:outlineLvl w:val="0"/>
    </w:pPr>
    <w:rPr>
      <w:rFonts w:ascii="SimSun" w:hAnsi="SimSun" w:eastAsia="SimSun" w:cs="SimSun"/>
      <w:b/>
      <w:bCs/>
      <w:color w:val="auto"/>
      <w:kern w:val="2"/>
      <w:sz w:val="48"/>
      <w:szCs w:val="48"/>
      <w:lang w:val="en-US" w:eastAsia="zh-CN" w:bidi="ar"/>
    </w:rPr>
  </w:style>
  <w:style w:type="paragraph" w:styleId="Heading2">
    <w:name w:val="Heading 2"/>
    <w:next w:val="Normal"/>
    <w:qFormat/>
    <w:pPr>
      <w:widowControl/>
      <w:numPr>
        <w:ilvl w:val="1"/>
        <w:numId w:val="1"/>
      </w:numPr>
      <w:bidi w:val="0"/>
      <w:spacing w:before="100" w:after="100"/>
      <w:jc w:val="start"/>
      <w:outlineLvl w:val="1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/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2026-09-20T09:15:16Z</dcterms:created>
  <dc:creator>sh</dc:creator>
  <dc:description/>
  <dc:language>en-US</dc:language>
  <cp:lastModifiedBy>sh</cp:lastModifiedBy>
  <dcterms:modified xsi:type="dcterms:W3CDTF">2026-09-20T10:49:16Z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6C182C0803504F558606372CA2CEBEC5_12</vt:lpwstr>
  </property>
  <property fmtid="{D5CDD505-2E9C-101B-9397-08002B2CF9AE}" pid="3" name="KSOProductBuildVer">
    <vt:lpwstr>1033-12.1.0.28485</vt:lpwstr>
  </property>
  <property fmtid="{D5CDD505-2E9C-101B-9397-08002B2CF9AE}" pid="4" name="KSOTemplateDocerSaveRecord">
    <vt:lpwstr>eyJoZGlkIjoiNGM5ODU5N2ZkZDc4NDljMjUzOGY4OWNhYjNkMTE0YWEifQ==</vt:lpwstr>
  </property>
</Properties>
</file>