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w:hAnsi="Aptos"/>
          <w:b/>
          <w:sz w:val="44"/>
        </w:rPr>
        <w:t>Smart Asset Inventory Database Review</w:t>
      </w:r>
    </w:p>
    <w:p>
      <w:pPr>
        <w:spacing w:after="320"/>
      </w:pPr>
      <w:r>
        <w:rPr>
          <w:rFonts w:ascii="Aptos" w:hAnsi="Aptos"/>
          <w:b w:val="0"/>
          <w:color w:val="4B4B4B"/>
          <w:sz w:val="24"/>
        </w:rPr>
        <w:t>ERD and SQL Schema Assessment</w:t>
      </w:r>
    </w:p>
    <w:p>
      <w:pPr>
        <w:pStyle w:val="Heading1"/>
        <w:spacing w:before="0" w:after="100" w:line="269" w:lineRule="auto"/>
      </w:pPr>
      <w:r>
        <w:rPr>
          <w:rFonts w:ascii="Aptos" w:hAnsi="Aptos"/>
          <w:b w:val="0"/>
          <w:sz w:val="28"/>
        </w:rPr>
        <w:t>Purpose</w:t>
      </w:r>
    </w:p>
    <w:p>
      <w:pPr>
        <w:spacing w:before="0" w:after="200" w:line="269" w:lineRule="auto"/>
      </w:pPr>
      <w:r>
        <w:rPr>
          <w:rFonts w:ascii="Aptos" w:hAnsi="Aptos"/>
          <w:b w:val="0"/>
          <w:sz w:val="21"/>
        </w:rPr>
        <w:t>This report reviews the supplied entity relationship diagram and the MySQL export file data.sql against the Smart Asset Inventory and Predictive Maintenance project brief. It identifies observed syntax and platform-compatibility issues, data-model and workflow gaps, and security and privacy risks. No database files were modified as part of this review.</w:t>
      </w:r>
    </w:p>
    <w:p>
      <w:pPr>
        <w:pStyle w:val="Heading1"/>
        <w:spacing w:before="80" w:after="100" w:line="269" w:lineRule="auto"/>
      </w:pPr>
      <w:r>
        <w:rPr>
          <w:rFonts w:ascii="Aptos" w:hAnsi="Aptos"/>
          <w:b w:val="0"/>
          <w:sz w:val="28"/>
        </w:rPr>
        <w:t>Overall Assessment</w:t>
      </w:r>
    </w:p>
    <w:p>
      <w:pPr>
        <w:spacing w:before="0" w:after="200" w:line="269" w:lineRule="auto"/>
      </w:pPr>
      <w:r>
        <w:rPr>
          <w:rFonts w:ascii="Aptos" w:hAnsi="Aptos"/>
          <w:b w:val="0"/>
          <w:sz w:val="21"/>
        </w:rPr>
        <w:t>The ERD provides a reasonable initial set of core entities for assets, locations, suppliers, purchase orders, invoices, warranties, custody transfers, maintenance, and stocktaking. However, it is not yet suitable for acceptance against the stated project requirements. The most significant concerns are the use of MySQL instead of the required PostgreSQL platform, the absence of enforceable custody and status history, missing scoped access control, and weak controls for financial documents and audit evidence.</w:t>
      </w:r>
    </w:p>
    <w:p>
      <w:pPr>
        <w:pStyle w:val="Heading1"/>
        <w:spacing w:before="80" w:after="100" w:line="269" w:lineRule="auto"/>
      </w:pPr>
      <w:r>
        <w:rPr>
          <w:rFonts w:ascii="Aptos" w:hAnsi="Aptos"/>
          <w:b w:val="0"/>
          <w:sz w:val="28"/>
        </w:rPr>
        <w:t>Scope Reviewed</w:t>
      </w:r>
    </w:p>
    <w:p>
      <w:pPr>
        <w:pStyle w:val="ListBullet"/>
        <w:spacing w:after="80" w:line="259" w:lineRule="auto"/>
      </w:pPr>
      <w:r>
        <w:rPr>
          <w:rFonts w:ascii="Aptos" w:hAnsi="Aptos"/>
          <w:b w:val="0"/>
          <w:sz w:val="20"/>
        </w:rPr>
        <w:t>Project brief: Smart Asset Inventory and Predictive Maintenance.</w:t>
      </w:r>
    </w:p>
    <w:p>
      <w:pPr>
        <w:pStyle w:val="ListBullet"/>
        <w:spacing w:after="80" w:line="259" w:lineRule="auto"/>
      </w:pPr>
      <w:r>
        <w:rPr>
          <w:rFonts w:ascii="Aptos" w:hAnsi="Aptos"/>
          <w:b w:val="0"/>
          <w:sz w:val="20"/>
        </w:rPr>
        <w:t>ERD image: photo_2026-09-20_21-41-18.jpg.</w:t>
      </w:r>
    </w:p>
    <w:p>
      <w:pPr>
        <w:pStyle w:val="ListBullet"/>
        <w:spacing w:after="80" w:line="259" w:lineRule="auto"/>
      </w:pPr>
      <w:r>
        <w:rPr>
          <w:rFonts w:ascii="Aptos" w:hAnsi="Aptos"/>
          <w:b w:val="0"/>
          <w:sz w:val="20"/>
        </w:rPr>
        <w:t>Database export: data.sql, identified in the file header as a MySQL 8.0.41 dump.</w:t>
      </w:r>
    </w:p>
    <w:p>
      <w:r>
        <w:br w:type="page"/>
      </w:r>
    </w:p>
    <w:p>
      <w:pPr>
        <w:pStyle w:val="Heading1"/>
        <w:spacing w:before="260" w:after="100"/>
      </w:pPr>
      <w:r>
        <w:rPr>
          <w:rFonts w:ascii="Aptos" w:hAnsi="Aptos"/>
          <w:b/>
          <w:sz w:val="28"/>
        </w:rPr>
        <w:t>Syntax and Platform Compatibility</w:t>
      </w:r>
    </w:p>
    <w:p>
      <w:pPr>
        <w:spacing w:before="0" w:after="160" w:line="269" w:lineRule="auto"/>
      </w:pPr>
      <w:r>
        <w:rPr>
          <w:rFonts w:ascii="Aptos" w:hAnsi="Aptos"/>
          <w:b w:val="0"/>
          <w:sz w:val="21"/>
        </w:rPr>
        <w:t>No obvious SQL grammar error was identified for MySQL 8.0.41. The critical issue is platform incompatibility: the project brief specifies PostgreSQL, while the supplied schema is a MySQL dump. The script will not run as-is on PostgreSQL.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037"/>
            <w:vAlign w:val="center"/>
            <w:shd w:fill="1F4E78"/>
            <w:tcMar>
              <w:top w:w="100" w:type="dxa"/>
              <w:start w:w="120" w:type="dxa"/>
              <w:bottom w:w="100" w:type="dxa"/>
              <w:end w:w="120" w:type="dxa"/>
            </w:tcMar>
          </w:tcPr>
          <w:p>
            <w:pPr>
              <w:jc w:val="center"/>
            </w:pPr>
            <w:r>
              <w:rPr>
                <w:rFonts w:ascii="Aptos" w:hAnsi="Aptos"/>
                <w:b/>
                <w:color w:val="FFFFFF"/>
                <w:sz w:val="18"/>
              </w:rPr>
              <w:t>ID</w:t>
            </w:r>
          </w:p>
        </w:tc>
        <w:tc>
          <w:tcPr>
            <w:tcW w:type="dxa" w:w="1512"/>
            <w:vAlign w:val="center"/>
            <w:shd w:fill="1F4E78"/>
            <w:tcMar>
              <w:top w:w="100" w:type="dxa"/>
              <w:start w:w="120" w:type="dxa"/>
              <w:bottom w:w="100" w:type="dxa"/>
              <w:end w:w="120" w:type="dxa"/>
            </w:tcMar>
          </w:tcPr>
          <w:p>
            <w:pPr>
              <w:jc w:val="center"/>
            </w:pPr>
            <w:r>
              <w:rPr>
                <w:rFonts w:ascii="Aptos" w:hAnsi="Aptos"/>
                <w:b/>
                <w:color w:val="FFFFFF"/>
                <w:sz w:val="18"/>
              </w:rPr>
              <w:t>Severity</w:t>
            </w:r>
          </w:p>
        </w:tc>
        <w:tc>
          <w:tcPr>
            <w:tcW w:type="dxa" w:w="3139"/>
            <w:vAlign w:val="center"/>
            <w:shd w:fill="1F4E78"/>
            <w:tcMar>
              <w:top w:w="100" w:type="dxa"/>
              <w:start w:w="120" w:type="dxa"/>
              <w:bottom w:w="100" w:type="dxa"/>
              <w:end w:w="120" w:type="dxa"/>
            </w:tcMar>
          </w:tcPr>
          <w:p>
            <w:pPr>
              <w:jc w:val="left"/>
            </w:pPr>
            <w:r>
              <w:rPr>
                <w:rFonts w:ascii="Aptos" w:hAnsi="Aptos"/>
                <w:b/>
                <w:color w:val="FFFFFF"/>
                <w:sz w:val="18"/>
              </w:rPr>
              <w:t>Finding</w:t>
            </w:r>
          </w:p>
        </w:tc>
        <w:tc>
          <w:tcPr>
            <w:tcW w:type="dxa" w:w="3672"/>
            <w:vAlign w:val="center"/>
            <w:shd w:fill="1F4E78"/>
            <w:tcMar>
              <w:top w:w="100" w:type="dxa"/>
              <w:start w:w="120" w:type="dxa"/>
              <w:bottom w:w="100" w:type="dxa"/>
              <w:end w:w="120" w:type="dxa"/>
            </w:tcMar>
          </w:tcPr>
          <w:p>
            <w:pPr>
              <w:jc w:val="left"/>
            </w:pPr>
            <w:r>
              <w:rPr>
                <w:rFonts w:ascii="Aptos" w:hAnsi="Aptos"/>
                <w:b/>
                <w:color w:val="FFFFFF"/>
                <w:sz w:val="18"/>
              </w:rPr>
              <w:t>Impact</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01</w:t>
            </w:r>
          </w:p>
        </w:tc>
        <w:tc>
          <w:tcPr>
            <w:tcW w:type="dxa" w:w="1512"/>
            <w:vAlign w:val="center"/>
            <w:tcMar>
              <w:top w:w="100" w:type="dxa"/>
              <w:start w:w="120" w:type="dxa"/>
              <w:bottom w:w="100" w:type="dxa"/>
              <w:end w:w="120" w:type="dxa"/>
            </w:tcMar>
          </w:tcPr>
          <w:p>
            <w:pPr>
              <w:spacing w:after="0"/>
              <w:jc w:val="center"/>
            </w:pPr>
            <w:r>
              <w:rPr>
                <w:rFonts w:ascii="Aptos" w:hAnsi="Aptos"/>
                <w:b/>
                <w:sz w:val="17"/>
              </w:rPr>
              <w:t>Critical</w:t>
            </w:r>
          </w:p>
        </w:tc>
        <w:tc>
          <w:tcPr>
            <w:tcW w:type="dxa" w:w="3139"/>
            <w:vAlign w:val="center"/>
            <w:tcMar>
              <w:top w:w="100" w:type="dxa"/>
              <w:start w:w="120" w:type="dxa"/>
              <w:bottom w:w="100" w:type="dxa"/>
              <w:end w:w="120" w:type="dxa"/>
            </w:tcMar>
          </w:tcPr>
          <w:p>
            <w:pPr>
              <w:spacing w:after="0"/>
              <w:jc w:val="left"/>
            </w:pPr>
            <w:r>
              <w:rPr>
                <w:rFonts w:ascii="Aptos" w:hAnsi="Aptos"/>
                <w:b w:val="0"/>
                <w:sz w:val="17"/>
              </w:rPr>
              <w:t>Database platform mismatch</w:t>
            </w:r>
          </w:p>
        </w:tc>
        <w:tc>
          <w:tcPr>
            <w:tcW w:type="dxa" w:w="3672"/>
            <w:vAlign w:val="center"/>
            <w:tcMar>
              <w:top w:w="100" w:type="dxa"/>
              <w:start w:w="120" w:type="dxa"/>
              <w:bottom w:w="100" w:type="dxa"/>
              <w:end w:w="120" w:type="dxa"/>
            </w:tcMar>
          </w:tcPr>
          <w:p>
            <w:pPr>
              <w:spacing w:after="0"/>
              <w:jc w:val="left"/>
            </w:pPr>
            <w:r>
              <w:rPr>
                <w:rFonts w:ascii="Aptos" w:hAnsi="Aptos"/>
                <w:b w:val="0"/>
                <w:sz w:val="17"/>
              </w:rPr>
              <w:t>The required stack is PostgreSQL, but the file is a MySQL 8.0.41 dump. This blocks direct deployment and creates a mismatch between the approved architecture and implementation.</w:t>
            </w:r>
          </w:p>
        </w:tc>
      </w:tr>
      <w:tr>
        <w:tc>
          <w:tcPr>
            <w:tcW w:type="dxa" w:w="1037"/>
            <w:vAlign w:val="center"/>
            <w:tcMar>
              <w:top w:w="100" w:type="dxa"/>
              <w:start w:w="120" w:type="dxa"/>
              <w:bottom w:w="100" w:type="dxa"/>
              <w:end w:w="120" w:type="dxa"/>
            </w:tcMar>
            <w:shd w:fill="F4F8FB"/>
          </w:tcPr>
          <w:p>
            <w:pPr>
              <w:spacing w:after="0"/>
              <w:jc w:val="center"/>
            </w:pPr>
            <w:r>
              <w:rPr>
                <w:rFonts w:ascii="Aptos" w:hAnsi="Aptos"/>
                <w:b w:val="0"/>
                <w:sz w:val="17"/>
              </w:rPr>
              <w:t>02</w:t>
            </w:r>
          </w:p>
        </w:tc>
        <w:tc>
          <w:tcPr>
            <w:tcW w:type="dxa" w:w="1512"/>
            <w:vAlign w:val="center"/>
            <w:tcMar>
              <w:top w:w="100" w:type="dxa"/>
              <w:start w:w="120" w:type="dxa"/>
              <w:bottom w:w="100" w:type="dxa"/>
              <w:end w:w="120" w:type="dxa"/>
            </w:tcMar>
            <w:shd w:fill="F4F8FB"/>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shd w:fill="F4F8FB"/>
          </w:tcPr>
          <w:p>
            <w:pPr>
              <w:spacing w:after="0"/>
              <w:jc w:val="left"/>
            </w:pPr>
            <w:r>
              <w:rPr>
                <w:rFonts w:ascii="Aptos" w:hAnsi="Aptos"/>
                <w:b w:val="0"/>
                <w:sz w:val="17"/>
              </w:rPr>
              <w:t>MySQL-specific SQL constructs</w:t>
            </w:r>
          </w:p>
        </w:tc>
        <w:tc>
          <w:tcPr>
            <w:tcW w:type="dxa" w:w="3672"/>
            <w:vAlign w:val="center"/>
            <w:tcMar>
              <w:top w:w="100" w:type="dxa"/>
              <w:start w:w="120" w:type="dxa"/>
              <w:bottom w:w="100" w:type="dxa"/>
              <w:end w:w="120" w:type="dxa"/>
            </w:tcMar>
            <w:shd w:fill="F4F8FB"/>
          </w:tcPr>
          <w:p>
            <w:pPr>
              <w:spacing w:after="0"/>
              <w:jc w:val="left"/>
            </w:pPr>
            <w:r>
              <w:rPr>
                <w:rFonts w:ascii="Aptos" w:hAnsi="Aptos"/>
                <w:b w:val="0"/>
                <w:sz w:val="17"/>
              </w:rPr>
              <w:t>Backticks, uuid(), ENGINE=InnoDB, MySQL collation settings, conditional comments, and MySQL timestamp behavior require conversion before PostgreSQL can execute the schema.</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03</w:t>
            </w:r>
          </w:p>
        </w:tc>
        <w:tc>
          <w:tcPr>
            <w:tcW w:type="dxa" w:w="1512"/>
            <w:vAlign w:val="center"/>
            <w:tcMar>
              <w:top w:w="100" w:type="dxa"/>
              <w:start w:w="120" w:type="dxa"/>
              <w:bottom w:w="100" w:type="dxa"/>
              <w:end w:w="120" w:type="dxa"/>
            </w:tcMar>
          </w:tcPr>
          <w:p>
            <w:pPr>
              <w:spacing w:after="0"/>
              <w:jc w:val="center"/>
            </w:pPr>
            <w:r>
              <w:rPr>
                <w:rFonts w:ascii="Aptos" w:hAnsi="Aptos"/>
                <w:b/>
                <w:sz w:val="17"/>
              </w:rPr>
              <w:t>Medium</w:t>
            </w:r>
          </w:p>
        </w:tc>
        <w:tc>
          <w:tcPr>
            <w:tcW w:type="dxa" w:w="3139"/>
            <w:vAlign w:val="center"/>
            <w:tcMar>
              <w:top w:w="100" w:type="dxa"/>
              <w:start w:w="120" w:type="dxa"/>
              <w:bottom w:w="100" w:type="dxa"/>
              <w:end w:w="120" w:type="dxa"/>
            </w:tcMar>
          </w:tcPr>
          <w:p>
            <w:pPr>
              <w:spacing w:after="0"/>
              <w:jc w:val="left"/>
            </w:pPr>
            <w:r>
              <w:rPr>
                <w:rFonts w:ascii="Aptos" w:hAnsi="Aptos"/>
                <w:b w:val="0"/>
                <w:sz w:val="17"/>
              </w:rPr>
              <w:t>ERD and SQL identifier mismatch</w:t>
            </w:r>
          </w:p>
        </w:tc>
        <w:tc>
          <w:tcPr>
            <w:tcW w:type="dxa" w:w="3672"/>
            <w:vAlign w:val="center"/>
            <w:tcMar>
              <w:top w:w="100" w:type="dxa"/>
              <w:start w:w="120" w:type="dxa"/>
              <w:bottom w:w="100" w:type="dxa"/>
              <w:end w:w="120" w:type="dxa"/>
            </w:tcMar>
          </w:tcPr>
          <w:p>
            <w:pPr>
              <w:spacing w:after="0"/>
              <w:jc w:val="left"/>
            </w:pPr>
            <w:r>
              <w:rPr>
                <w:rFonts w:ascii="Aptos" w:hAnsi="Aptos"/>
                <w:b w:val="0"/>
                <w:sz w:val="17"/>
              </w:rPr>
              <w:t>The ERD labels identifiers as uuid, while the SQL stores them as char(36). This creates ambiguity about the intended identifier type and validation behavior.</w:t>
            </w:r>
          </w:p>
        </w:tc>
      </w:tr>
    </w:tbl>
    <w:p>
      <w:pPr>
        <w:spacing w:after="40"/>
      </w:pPr>
    </w:p>
    <w:p>
      <w:pPr>
        <w:pStyle w:val="Heading1"/>
        <w:spacing w:before="260" w:after="100"/>
      </w:pPr>
      <w:r>
        <w:rPr>
          <w:rFonts w:ascii="Aptos" w:hAnsi="Aptos"/>
          <w:b/>
          <w:sz w:val="28"/>
        </w:rPr>
        <w:t>Logical and Data Model Findings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037"/>
            <w:vAlign w:val="center"/>
            <w:shd w:fill="1F4E78"/>
            <w:tcMar>
              <w:top w:w="100" w:type="dxa"/>
              <w:start w:w="120" w:type="dxa"/>
              <w:bottom w:w="100" w:type="dxa"/>
              <w:end w:w="120" w:type="dxa"/>
            </w:tcMar>
          </w:tcPr>
          <w:p>
            <w:pPr>
              <w:jc w:val="center"/>
            </w:pPr>
            <w:r>
              <w:rPr>
                <w:rFonts w:ascii="Aptos" w:hAnsi="Aptos"/>
                <w:b/>
                <w:color w:val="FFFFFF"/>
                <w:sz w:val="18"/>
              </w:rPr>
              <w:t>ID</w:t>
            </w:r>
          </w:p>
        </w:tc>
        <w:tc>
          <w:tcPr>
            <w:tcW w:type="dxa" w:w="1512"/>
            <w:vAlign w:val="center"/>
            <w:shd w:fill="1F4E78"/>
            <w:tcMar>
              <w:top w:w="100" w:type="dxa"/>
              <w:start w:w="120" w:type="dxa"/>
              <w:bottom w:w="100" w:type="dxa"/>
              <w:end w:w="120" w:type="dxa"/>
            </w:tcMar>
          </w:tcPr>
          <w:p>
            <w:pPr>
              <w:jc w:val="center"/>
            </w:pPr>
            <w:r>
              <w:rPr>
                <w:rFonts w:ascii="Aptos" w:hAnsi="Aptos"/>
                <w:b/>
                <w:color w:val="FFFFFF"/>
                <w:sz w:val="18"/>
              </w:rPr>
              <w:t>Severity</w:t>
            </w:r>
          </w:p>
        </w:tc>
        <w:tc>
          <w:tcPr>
            <w:tcW w:type="dxa" w:w="3139"/>
            <w:vAlign w:val="center"/>
            <w:shd w:fill="1F4E78"/>
            <w:tcMar>
              <w:top w:w="100" w:type="dxa"/>
              <w:start w:w="120" w:type="dxa"/>
              <w:bottom w:w="100" w:type="dxa"/>
              <w:end w:w="120" w:type="dxa"/>
            </w:tcMar>
          </w:tcPr>
          <w:p>
            <w:pPr>
              <w:jc w:val="left"/>
            </w:pPr>
            <w:r>
              <w:rPr>
                <w:rFonts w:ascii="Aptos" w:hAnsi="Aptos"/>
                <w:b/>
                <w:color w:val="FFFFFF"/>
                <w:sz w:val="18"/>
              </w:rPr>
              <w:t>Finding</w:t>
            </w:r>
          </w:p>
        </w:tc>
        <w:tc>
          <w:tcPr>
            <w:tcW w:type="dxa" w:w="3672"/>
            <w:vAlign w:val="center"/>
            <w:shd w:fill="1F4E78"/>
            <w:tcMar>
              <w:top w:w="100" w:type="dxa"/>
              <w:start w:w="120" w:type="dxa"/>
              <w:bottom w:w="100" w:type="dxa"/>
              <w:end w:w="120" w:type="dxa"/>
            </w:tcMar>
          </w:tcPr>
          <w:p>
            <w:pPr>
              <w:jc w:val="left"/>
            </w:pPr>
            <w:r>
              <w:rPr>
                <w:rFonts w:ascii="Aptos" w:hAnsi="Aptos"/>
                <w:b/>
                <w:color w:val="FFFFFF"/>
                <w:sz w:val="18"/>
              </w:rPr>
              <w:t>Impact</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01</w:t>
            </w:r>
          </w:p>
        </w:tc>
        <w:tc>
          <w:tcPr>
            <w:tcW w:type="dxa" w:w="1512"/>
            <w:vAlign w:val="center"/>
            <w:tcMar>
              <w:top w:w="100" w:type="dxa"/>
              <w:start w:w="120" w:type="dxa"/>
              <w:bottom w:w="100" w:type="dxa"/>
              <w:end w:w="120" w:type="dxa"/>
            </w:tcMar>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tcPr>
          <w:p>
            <w:pPr>
              <w:spacing w:after="0"/>
              <w:jc w:val="left"/>
            </w:pPr>
            <w:r>
              <w:rPr>
                <w:rFonts w:ascii="Aptos" w:hAnsi="Aptos"/>
                <w:b w:val="0"/>
                <w:sz w:val="17"/>
              </w:rPr>
              <w:t>Asset purchase date is absent</w:t>
            </w:r>
          </w:p>
        </w:tc>
        <w:tc>
          <w:tcPr>
            <w:tcW w:type="dxa" w:w="3672"/>
            <w:vAlign w:val="center"/>
            <w:tcMar>
              <w:top w:w="100" w:type="dxa"/>
              <w:start w:w="120" w:type="dxa"/>
              <w:bottom w:w="100" w:type="dxa"/>
              <w:end w:w="120" w:type="dxa"/>
            </w:tcMar>
          </w:tcPr>
          <w:p>
            <w:pPr>
              <w:spacing w:after="0"/>
              <w:jc w:val="left"/>
            </w:pPr>
            <w:r>
              <w:rPr>
                <w:rFonts w:ascii="Aptos" w:hAnsi="Aptos"/>
                <w:b w:val="0"/>
                <w:sz w:val="17"/>
              </w:rPr>
              <w:t>The Assets table stores purchase cost but not an asset-level purchase date. A purchase order date cannot reliably represent receipt, activation, or acquisition dates for each individual asset.</w:t>
            </w:r>
          </w:p>
        </w:tc>
      </w:tr>
      <w:tr>
        <w:tc>
          <w:tcPr>
            <w:tcW w:type="dxa" w:w="1037"/>
            <w:vAlign w:val="center"/>
            <w:tcMar>
              <w:top w:w="100" w:type="dxa"/>
              <w:start w:w="120" w:type="dxa"/>
              <w:bottom w:w="100" w:type="dxa"/>
              <w:end w:w="120" w:type="dxa"/>
            </w:tcMar>
            <w:shd w:fill="F4F8FB"/>
          </w:tcPr>
          <w:p>
            <w:pPr>
              <w:spacing w:after="0"/>
              <w:jc w:val="center"/>
            </w:pPr>
            <w:r>
              <w:rPr>
                <w:rFonts w:ascii="Aptos" w:hAnsi="Aptos"/>
                <w:b w:val="0"/>
                <w:sz w:val="17"/>
              </w:rPr>
              <w:t>02</w:t>
            </w:r>
          </w:p>
        </w:tc>
        <w:tc>
          <w:tcPr>
            <w:tcW w:type="dxa" w:w="1512"/>
            <w:vAlign w:val="center"/>
            <w:tcMar>
              <w:top w:w="100" w:type="dxa"/>
              <w:start w:w="120" w:type="dxa"/>
              <w:bottom w:w="100" w:type="dxa"/>
              <w:end w:w="120" w:type="dxa"/>
            </w:tcMar>
            <w:shd w:fill="F4F8FB"/>
          </w:tcPr>
          <w:p>
            <w:pPr>
              <w:spacing w:after="0"/>
              <w:jc w:val="center"/>
            </w:pPr>
            <w:r>
              <w:rPr>
                <w:rFonts w:ascii="Aptos" w:hAnsi="Aptos"/>
                <w:b/>
                <w:sz w:val="17"/>
              </w:rPr>
              <w:t>Critical</w:t>
            </w:r>
          </w:p>
        </w:tc>
        <w:tc>
          <w:tcPr>
            <w:tcW w:type="dxa" w:w="3139"/>
            <w:vAlign w:val="center"/>
            <w:tcMar>
              <w:top w:w="100" w:type="dxa"/>
              <w:start w:w="120" w:type="dxa"/>
              <w:bottom w:w="100" w:type="dxa"/>
              <w:end w:w="120" w:type="dxa"/>
            </w:tcMar>
            <w:shd w:fill="F4F8FB"/>
          </w:tcPr>
          <w:p>
            <w:pPr>
              <w:spacing w:after="0"/>
              <w:jc w:val="left"/>
            </w:pPr>
            <w:r>
              <w:rPr>
                <w:rFonts w:ascii="Aptos" w:hAnsi="Aptos"/>
                <w:b w:val="0"/>
                <w:sz w:val="17"/>
              </w:rPr>
              <w:t>Custody history is not enforced</w:t>
            </w:r>
          </w:p>
        </w:tc>
        <w:tc>
          <w:tcPr>
            <w:tcW w:type="dxa" w:w="3672"/>
            <w:vAlign w:val="center"/>
            <w:tcMar>
              <w:top w:w="100" w:type="dxa"/>
              <w:start w:w="120" w:type="dxa"/>
              <w:bottom w:w="100" w:type="dxa"/>
              <w:end w:w="120" w:type="dxa"/>
            </w:tcMar>
            <w:shd w:fill="F4F8FB"/>
          </w:tcPr>
          <w:p>
            <w:pPr>
              <w:spacing w:after="0"/>
              <w:jc w:val="left"/>
            </w:pPr>
            <w:r>
              <w:rPr>
                <w:rFonts w:ascii="Aptos" w:hAnsi="Aptos"/>
                <w:b w:val="0"/>
                <w:sz w:val="17"/>
              </w:rPr>
              <w:t>Current location and custodian can be changed directly on Assets without a matching approved custody transfer. This does not guarantee a unique, complete, auditable custody history.</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03</w:t>
            </w:r>
          </w:p>
        </w:tc>
        <w:tc>
          <w:tcPr>
            <w:tcW w:type="dxa" w:w="1512"/>
            <w:vAlign w:val="center"/>
            <w:tcMar>
              <w:top w:w="100" w:type="dxa"/>
              <w:start w:w="120" w:type="dxa"/>
              <w:bottom w:w="100" w:type="dxa"/>
              <w:end w:w="120" w:type="dxa"/>
            </w:tcMar>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tcPr>
          <w:p>
            <w:pPr>
              <w:spacing w:after="0"/>
              <w:jc w:val="left"/>
            </w:pPr>
            <w:r>
              <w:rPr>
                <w:rFonts w:ascii="Aptos" w:hAnsi="Aptos"/>
                <w:b w:val="0"/>
                <w:sz w:val="17"/>
              </w:rPr>
              <w:t>Transfer workflow is incomplete</w:t>
            </w:r>
          </w:p>
        </w:tc>
        <w:tc>
          <w:tcPr>
            <w:tcW w:type="dxa" w:w="3672"/>
            <w:vAlign w:val="center"/>
            <w:tcMar>
              <w:top w:w="100" w:type="dxa"/>
              <w:start w:w="120" w:type="dxa"/>
              <w:bottom w:w="100" w:type="dxa"/>
              <w:end w:w="120" w:type="dxa"/>
            </w:tcMar>
          </w:tcPr>
          <w:p>
            <w:pPr>
              <w:spacing w:after="0"/>
              <w:jc w:val="left"/>
            </w:pPr>
            <w:r>
              <w:rPr>
                <w:rFonts w:ascii="Aptos" w:hAnsi="Aptos"/>
                <w:b w:val="0"/>
                <w:sz w:val="17"/>
              </w:rPr>
              <w:t>Custody transfers do not record an effective transfer time, approval time, reason, or approval notes. There are no constraints against meaningless or incomplete transfers.</w:t>
            </w:r>
          </w:p>
        </w:tc>
      </w:tr>
      <w:tr>
        <w:tc>
          <w:tcPr>
            <w:tcW w:type="dxa" w:w="1037"/>
            <w:vAlign w:val="center"/>
            <w:tcMar>
              <w:top w:w="100" w:type="dxa"/>
              <w:start w:w="120" w:type="dxa"/>
              <w:bottom w:w="100" w:type="dxa"/>
              <w:end w:w="120" w:type="dxa"/>
            </w:tcMar>
            <w:shd w:fill="F4F8FB"/>
          </w:tcPr>
          <w:p>
            <w:pPr>
              <w:spacing w:after="0"/>
              <w:jc w:val="center"/>
            </w:pPr>
            <w:r>
              <w:rPr>
                <w:rFonts w:ascii="Aptos" w:hAnsi="Aptos"/>
                <w:b w:val="0"/>
                <w:sz w:val="17"/>
              </w:rPr>
              <w:t>04</w:t>
            </w:r>
          </w:p>
        </w:tc>
        <w:tc>
          <w:tcPr>
            <w:tcW w:type="dxa" w:w="1512"/>
            <w:vAlign w:val="center"/>
            <w:tcMar>
              <w:top w:w="100" w:type="dxa"/>
              <w:start w:w="120" w:type="dxa"/>
              <w:bottom w:w="100" w:type="dxa"/>
              <w:end w:w="120" w:type="dxa"/>
            </w:tcMar>
            <w:shd w:fill="F4F8FB"/>
          </w:tcPr>
          <w:p>
            <w:pPr>
              <w:spacing w:after="0"/>
              <w:jc w:val="center"/>
            </w:pPr>
            <w:r>
              <w:rPr>
                <w:rFonts w:ascii="Aptos" w:hAnsi="Aptos"/>
                <w:b/>
                <w:sz w:val="17"/>
              </w:rPr>
              <w:t>Critical</w:t>
            </w:r>
          </w:p>
        </w:tc>
        <w:tc>
          <w:tcPr>
            <w:tcW w:type="dxa" w:w="3139"/>
            <w:vAlign w:val="center"/>
            <w:tcMar>
              <w:top w:w="100" w:type="dxa"/>
              <w:start w:w="120" w:type="dxa"/>
              <w:bottom w:w="100" w:type="dxa"/>
              <w:end w:w="120" w:type="dxa"/>
            </w:tcMar>
            <w:shd w:fill="F4F8FB"/>
          </w:tcPr>
          <w:p>
            <w:pPr>
              <w:spacing w:after="0"/>
              <w:jc w:val="left"/>
            </w:pPr>
            <w:r>
              <w:rPr>
                <w:rFonts w:ascii="Aptos" w:hAnsi="Aptos"/>
                <w:b w:val="0"/>
                <w:sz w:val="17"/>
              </w:rPr>
              <w:t>Status and retirement history is missing</w:t>
            </w:r>
          </w:p>
        </w:tc>
        <w:tc>
          <w:tcPr>
            <w:tcW w:type="dxa" w:w="3672"/>
            <w:vAlign w:val="center"/>
            <w:tcMar>
              <w:top w:w="100" w:type="dxa"/>
              <w:start w:w="120" w:type="dxa"/>
              <w:bottom w:w="100" w:type="dxa"/>
              <w:end w:w="120" w:type="dxa"/>
            </w:tcMar>
            <w:shd w:fill="F4F8FB"/>
          </w:tcPr>
          <w:p>
            <w:pPr>
              <w:spacing w:after="0"/>
              <w:jc w:val="left"/>
            </w:pPr>
            <w:r>
              <w:rPr>
                <w:rFonts w:ascii="Aptos" w:hAnsi="Aptos"/>
                <w:b w:val="0"/>
                <w:sz w:val="17"/>
              </w:rPr>
              <w:t>There is no immutable asset-status history or retirement/disposal record with reason, approval, date, and evidence. The read-only retired-asset requirement cannot be enforced by this model.</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05</w:t>
            </w:r>
          </w:p>
        </w:tc>
        <w:tc>
          <w:tcPr>
            <w:tcW w:type="dxa" w:w="1512"/>
            <w:vAlign w:val="center"/>
            <w:tcMar>
              <w:top w:w="100" w:type="dxa"/>
              <w:start w:w="120" w:type="dxa"/>
              <w:bottom w:w="100" w:type="dxa"/>
              <w:end w:w="120" w:type="dxa"/>
            </w:tcMar>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tcPr>
          <w:p>
            <w:pPr>
              <w:spacing w:after="0"/>
              <w:jc w:val="left"/>
            </w:pPr>
            <w:r>
              <w:rPr>
                <w:rFonts w:ascii="Aptos" w:hAnsi="Aptos"/>
                <w:b w:val="0"/>
                <w:sz w:val="17"/>
              </w:rPr>
              <w:t>Business audit fields are incomplete</w:t>
            </w:r>
          </w:p>
        </w:tc>
        <w:tc>
          <w:tcPr>
            <w:tcW w:type="dxa" w:w="3672"/>
            <w:vAlign w:val="center"/>
            <w:tcMar>
              <w:top w:w="100" w:type="dxa"/>
              <w:start w:w="120" w:type="dxa"/>
              <w:bottom w:w="100" w:type="dxa"/>
              <w:end w:w="120" w:type="dxa"/>
            </w:tcMar>
          </w:tcPr>
          <w:p>
            <w:pPr>
              <w:spacing w:after="0"/>
              <w:jc w:val="left"/>
            </w:pPr>
            <w:r>
              <w:rPr>
                <w:rFonts w:ascii="Aptos" w:hAnsi="Aptos"/>
                <w:b w:val="0"/>
                <w:sz w:val="17"/>
              </w:rPr>
              <w:t>Most mutable business tables lack updated_at and actor fields such as created_by and updated_by, despite the project requirement for these controls where appropriate.</w:t>
            </w:r>
          </w:p>
        </w:tc>
      </w:tr>
      <w:tr>
        <w:tc>
          <w:tcPr>
            <w:tcW w:type="dxa" w:w="1037"/>
            <w:vAlign w:val="center"/>
            <w:tcMar>
              <w:top w:w="100" w:type="dxa"/>
              <w:start w:w="120" w:type="dxa"/>
              <w:bottom w:w="100" w:type="dxa"/>
              <w:end w:w="120" w:type="dxa"/>
            </w:tcMar>
            <w:shd w:fill="F4F8FB"/>
          </w:tcPr>
          <w:p>
            <w:pPr>
              <w:spacing w:after="0"/>
              <w:jc w:val="center"/>
            </w:pPr>
            <w:r>
              <w:rPr>
                <w:rFonts w:ascii="Aptos" w:hAnsi="Aptos"/>
                <w:b w:val="0"/>
                <w:sz w:val="17"/>
              </w:rPr>
              <w:t>06</w:t>
            </w:r>
          </w:p>
        </w:tc>
        <w:tc>
          <w:tcPr>
            <w:tcW w:type="dxa" w:w="1512"/>
            <w:vAlign w:val="center"/>
            <w:tcMar>
              <w:top w:w="100" w:type="dxa"/>
              <w:start w:w="120" w:type="dxa"/>
              <w:bottom w:w="100" w:type="dxa"/>
              <w:end w:w="120" w:type="dxa"/>
            </w:tcMar>
            <w:shd w:fill="F4F8FB"/>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shd w:fill="F4F8FB"/>
          </w:tcPr>
          <w:p>
            <w:pPr>
              <w:spacing w:after="0"/>
              <w:jc w:val="left"/>
            </w:pPr>
            <w:r>
              <w:rPr>
                <w:rFonts w:ascii="Aptos" w:hAnsi="Aptos"/>
                <w:b w:val="0"/>
                <w:sz w:val="17"/>
              </w:rPr>
              <w:t>Maintenance scheduling is underspecified</w:t>
            </w:r>
          </w:p>
        </w:tc>
        <w:tc>
          <w:tcPr>
            <w:tcW w:type="dxa" w:w="3672"/>
            <w:vAlign w:val="center"/>
            <w:tcMar>
              <w:top w:w="100" w:type="dxa"/>
              <w:start w:w="120" w:type="dxa"/>
              <w:bottom w:w="100" w:type="dxa"/>
              <w:end w:w="120" w:type="dxa"/>
            </w:tcMar>
            <w:shd w:fill="F4F8FB"/>
          </w:tcPr>
          <w:p>
            <w:pPr>
              <w:spacing w:after="0"/>
              <w:jc w:val="left"/>
            </w:pPr>
            <w:r>
              <w:rPr>
                <w:rFonts w:ascii="Aptos" w:hAnsi="Aptos"/>
                <w:b w:val="0"/>
                <w:sz w:val="17"/>
              </w:rPr>
              <w:t>Templates do not fully model model-specific, runtime, or condition triggers, and the schema has no persisted next-due date or explicit mechanism linking last service to the next due date.</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07</w:t>
            </w:r>
          </w:p>
        </w:tc>
        <w:tc>
          <w:tcPr>
            <w:tcW w:type="dxa" w:w="1512"/>
            <w:vAlign w:val="center"/>
            <w:tcMar>
              <w:top w:w="100" w:type="dxa"/>
              <w:start w:w="120" w:type="dxa"/>
              <w:bottom w:w="100" w:type="dxa"/>
              <w:end w:w="120" w:type="dxa"/>
            </w:tcMar>
          </w:tcPr>
          <w:p>
            <w:pPr>
              <w:spacing w:after="0"/>
              <w:jc w:val="center"/>
            </w:pPr>
            <w:r>
              <w:rPr>
                <w:rFonts w:ascii="Aptos" w:hAnsi="Aptos"/>
                <w:b/>
                <w:sz w:val="17"/>
              </w:rPr>
              <w:t>Medium</w:t>
            </w:r>
          </w:p>
        </w:tc>
        <w:tc>
          <w:tcPr>
            <w:tcW w:type="dxa" w:w="3139"/>
            <w:vAlign w:val="center"/>
            <w:tcMar>
              <w:top w:w="100" w:type="dxa"/>
              <w:start w:w="120" w:type="dxa"/>
              <w:bottom w:w="100" w:type="dxa"/>
              <w:end w:w="120" w:type="dxa"/>
            </w:tcMar>
          </w:tcPr>
          <w:p>
            <w:pPr>
              <w:spacing w:after="0"/>
              <w:jc w:val="left"/>
            </w:pPr>
            <w:r>
              <w:rPr>
                <w:rFonts w:ascii="Aptos" w:hAnsi="Aptos"/>
                <w:b w:val="0"/>
                <w:sz w:val="17"/>
              </w:rPr>
              <w:t>Work order detail is insufficient</w:t>
            </w:r>
          </w:p>
        </w:tc>
        <w:tc>
          <w:tcPr>
            <w:tcW w:type="dxa" w:w="3672"/>
            <w:vAlign w:val="center"/>
            <w:tcMar>
              <w:top w:w="100" w:type="dxa"/>
              <w:start w:w="120" w:type="dxa"/>
              <w:bottom w:w="100" w:type="dxa"/>
              <w:end w:w="120" w:type="dxa"/>
            </w:tcMar>
          </w:tcPr>
          <w:p>
            <w:pPr>
              <w:spacing w:after="0"/>
              <w:jc w:val="left"/>
            </w:pPr>
            <w:r>
              <w:rPr>
                <w:rFonts w:ascii="Aptos" w:hAnsi="Aptos"/>
                <w:b w:val="0"/>
                <w:sz w:val="17"/>
              </w:rPr>
              <w:t>Checklist completion and structured parts usage are not modelled. Free-text parts_replaced cannot support reliable quantities, unit costs, or reporting.</w:t>
            </w:r>
          </w:p>
        </w:tc>
      </w:tr>
      <w:tr>
        <w:tc>
          <w:tcPr>
            <w:tcW w:type="dxa" w:w="1037"/>
            <w:vAlign w:val="center"/>
            <w:tcMar>
              <w:top w:w="100" w:type="dxa"/>
              <w:start w:w="120" w:type="dxa"/>
              <w:bottom w:w="100" w:type="dxa"/>
              <w:end w:w="120" w:type="dxa"/>
            </w:tcMar>
            <w:shd w:fill="F4F8FB"/>
          </w:tcPr>
          <w:p>
            <w:pPr>
              <w:spacing w:after="0"/>
              <w:jc w:val="center"/>
            </w:pPr>
            <w:r>
              <w:rPr>
                <w:rFonts w:ascii="Aptos" w:hAnsi="Aptos"/>
                <w:b w:val="0"/>
                <w:sz w:val="17"/>
              </w:rPr>
              <w:t>08</w:t>
            </w:r>
          </w:p>
        </w:tc>
        <w:tc>
          <w:tcPr>
            <w:tcW w:type="dxa" w:w="1512"/>
            <w:vAlign w:val="center"/>
            <w:tcMar>
              <w:top w:w="100" w:type="dxa"/>
              <w:start w:w="120" w:type="dxa"/>
              <w:bottom w:w="100" w:type="dxa"/>
              <w:end w:w="120" w:type="dxa"/>
            </w:tcMar>
            <w:shd w:fill="F4F8FB"/>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shd w:fill="F4F8FB"/>
          </w:tcPr>
          <w:p>
            <w:pPr>
              <w:spacing w:after="0"/>
              <w:jc w:val="left"/>
            </w:pPr>
            <w:r>
              <w:rPr>
                <w:rFonts w:ascii="Aptos" w:hAnsi="Aptos"/>
                <w:b w:val="0"/>
                <w:sz w:val="17"/>
              </w:rPr>
              <w:t>Stocktake cannot reliably identify missing assets</w:t>
            </w:r>
          </w:p>
        </w:tc>
        <w:tc>
          <w:tcPr>
            <w:tcW w:type="dxa" w:w="3672"/>
            <w:vAlign w:val="center"/>
            <w:tcMar>
              <w:top w:w="100" w:type="dxa"/>
              <w:start w:w="120" w:type="dxa"/>
              <w:bottom w:w="100" w:type="dxa"/>
              <w:end w:w="120" w:type="dxa"/>
            </w:tcMar>
            <w:shd w:fill="F4F8FB"/>
          </w:tcPr>
          <w:p>
            <w:pPr>
              <w:spacing w:after="0"/>
              <w:jc w:val="left"/>
            </w:pPr>
            <w:r>
              <w:rPr>
                <w:rFonts w:ascii="Aptos" w:hAnsi="Aptos"/>
                <w:b w:val="0"/>
                <w:sz w:val="17"/>
              </w:rPr>
              <w:t>There is no expected-asset snapshot for a stocktake session and no uniqueness rule for one observation per asset per session. Missing or duplicate-scan outcomes cannot be calculated reliably.</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09</w:t>
            </w:r>
          </w:p>
        </w:tc>
        <w:tc>
          <w:tcPr>
            <w:tcW w:type="dxa" w:w="1512"/>
            <w:vAlign w:val="center"/>
            <w:tcMar>
              <w:top w:w="100" w:type="dxa"/>
              <w:start w:w="120" w:type="dxa"/>
              <w:bottom w:w="100" w:type="dxa"/>
              <w:end w:w="120" w:type="dxa"/>
            </w:tcMar>
          </w:tcPr>
          <w:p>
            <w:pPr>
              <w:spacing w:after="0"/>
              <w:jc w:val="center"/>
            </w:pPr>
            <w:r>
              <w:rPr>
                <w:rFonts w:ascii="Aptos" w:hAnsi="Aptos"/>
                <w:b/>
                <w:sz w:val="17"/>
              </w:rPr>
              <w:t>Medium</w:t>
            </w:r>
          </w:p>
        </w:tc>
        <w:tc>
          <w:tcPr>
            <w:tcW w:type="dxa" w:w="3139"/>
            <w:vAlign w:val="center"/>
            <w:tcMar>
              <w:top w:w="100" w:type="dxa"/>
              <w:start w:w="120" w:type="dxa"/>
              <w:bottom w:w="100" w:type="dxa"/>
              <w:end w:w="120" w:type="dxa"/>
            </w:tcMar>
          </w:tcPr>
          <w:p>
            <w:pPr>
              <w:spacing w:after="0"/>
              <w:jc w:val="left"/>
            </w:pPr>
            <w:r>
              <w:rPr>
                <w:rFonts w:ascii="Aptos" w:hAnsi="Aptos"/>
                <w:b w:val="0"/>
                <w:sz w:val="17"/>
              </w:rPr>
              <w:t>Location hierarchy is not protected</w:t>
            </w:r>
          </w:p>
        </w:tc>
        <w:tc>
          <w:tcPr>
            <w:tcW w:type="dxa" w:w="3672"/>
            <w:vAlign w:val="center"/>
            <w:tcMar>
              <w:top w:w="100" w:type="dxa"/>
              <w:start w:w="120" w:type="dxa"/>
              <w:bottom w:w="100" w:type="dxa"/>
              <w:end w:w="120" w:type="dxa"/>
            </w:tcMar>
          </w:tcPr>
          <w:p>
            <w:pPr>
              <w:spacing w:after="0"/>
              <w:jc w:val="left"/>
            </w:pPr>
            <w:r>
              <w:rPr>
                <w:rFonts w:ascii="Aptos" w:hAnsi="Aptos"/>
                <w:b w:val="0"/>
                <w:sz w:val="17"/>
              </w:rPr>
              <w:t>The self-referencing location relationship does not prevent cycles or enforce a valid campus-to-office hierarchy.</w:t>
            </w:r>
          </w:p>
        </w:tc>
      </w:tr>
      <w:tr>
        <w:tc>
          <w:tcPr>
            <w:tcW w:type="dxa" w:w="1037"/>
            <w:vAlign w:val="center"/>
            <w:tcMar>
              <w:top w:w="100" w:type="dxa"/>
              <w:start w:w="120" w:type="dxa"/>
              <w:bottom w:w="100" w:type="dxa"/>
              <w:end w:w="120" w:type="dxa"/>
            </w:tcMar>
            <w:shd w:fill="F4F8FB"/>
          </w:tcPr>
          <w:p>
            <w:pPr>
              <w:spacing w:after="0"/>
              <w:jc w:val="center"/>
            </w:pPr>
            <w:r>
              <w:rPr>
                <w:rFonts w:ascii="Aptos" w:hAnsi="Aptos"/>
                <w:b w:val="0"/>
                <w:sz w:val="17"/>
              </w:rPr>
              <w:t>10</w:t>
            </w:r>
          </w:p>
        </w:tc>
        <w:tc>
          <w:tcPr>
            <w:tcW w:type="dxa" w:w="1512"/>
            <w:vAlign w:val="center"/>
            <w:tcMar>
              <w:top w:w="100" w:type="dxa"/>
              <w:start w:w="120" w:type="dxa"/>
              <w:bottom w:w="100" w:type="dxa"/>
              <w:end w:w="120" w:type="dxa"/>
            </w:tcMar>
            <w:shd w:fill="F4F8FB"/>
          </w:tcPr>
          <w:p>
            <w:pPr>
              <w:spacing w:after="0"/>
              <w:jc w:val="center"/>
            </w:pPr>
            <w:r>
              <w:rPr>
                <w:rFonts w:ascii="Aptos" w:hAnsi="Aptos"/>
                <w:b/>
                <w:sz w:val="17"/>
              </w:rPr>
              <w:t>Medium</w:t>
            </w:r>
          </w:p>
        </w:tc>
        <w:tc>
          <w:tcPr>
            <w:tcW w:type="dxa" w:w="3139"/>
            <w:vAlign w:val="center"/>
            <w:tcMar>
              <w:top w:w="100" w:type="dxa"/>
              <w:start w:w="120" w:type="dxa"/>
              <w:bottom w:w="100" w:type="dxa"/>
              <w:end w:w="120" w:type="dxa"/>
            </w:tcMar>
            <w:shd w:fill="F4F8FB"/>
          </w:tcPr>
          <w:p>
            <w:pPr>
              <w:spacing w:after="0"/>
              <w:jc w:val="left"/>
            </w:pPr>
            <w:r>
              <w:rPr>
                <w:rFonts w:ascii="Aptos" w:hAnsi="Aptos"/>
                <w:b w:val="0"/>
                <w:sz w:val="17"/>
              </w:rPr>
              <w:t>Procurement references can conflict</w:t>
            </w:r>
          </w:p>
        </w:tc>
        <w:tc>
          <w:tcPr>
            <w:tcW w:type="dxa" w:w="3672"/>
            <w:vAlign w:val="center"/>
            <w:tcMar>
              <w:top w:w="100" w:type="dxa"/>
              <w:start w:w="120" w:type="dxa"/>
              <w:bottom w:w="100" w:type="dxa"/>
              <w:end w:w="120" w:type="dxa"/>
            </w:tcMar>
            <w:shd w:fill="F4F8FB"/>
          </w:tcPr>
          <w:p>
            <w:pPr>
              <w:spacing w:after="0"/>
              <w:jc w:val="left"/>
            </w:pPr>
            <w:r>
              <w:rPr>
                <w:rFonts w:ascii="Aptos" w:hAnsi="Aptos"/>
                <w:b w:val="0"/>
                <w:sz w:val="17"/>
              </w:rPr>
              <w:t>An asset can be linked to an invoice that belongs to a different purchase order, because there is no integrity rule tying these references together.</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11</w:t>
            </w:r>
          </w:p>
        </w:tc>
        <w:tc>
          <w:tcPr>
            <w:tcW w:type="dxa" w:w="1512"/>
            <w:vAlign w:val="center"/>
            <w:tcMar>
              <w:top w:w="100" w:type="dxa"/>
              <w:start w:w="120" w:type="dxa"/>
              <w:bottom w:w="100" w:type="dxa"/>
              <w:end w:w="120" w:type="dxa"/>
            </w:tcMar>
          </w:tcPr>
          <w:p>
            <w:pPr>
              <w:spacing w:after="0"/>
              <w:jc w:val="center"/>
            </w:pPr>
            <w:r>
              <w:rPr>
                <w:rFonts w:ascii="Aptos" w:hAnsi="Aptos"/>
                <w:b/>
                <w:sz w:val="17"/>
              </w:rPr>
              <w:t>Medium</w:t>
            </w:r>
          </w:p>
        </w:tc>
        <w:tc>
          <w:tcPr>
            <w:tcW w:type="dxa" w:w="3139"/>
            <w:vAlign w:val="center"/>
            <w:tcMar>
              <w:top w:w="100" w:type="dxa"/>
              <w:start w:w="120" w:type="dxa"/>
              <w:bottom w:w="100" w:type="dxa"/>
              <w:end w:w="120" w:type="dxa"/>
            </w:tcMar>
          </w:tcPr>
          <w:p>
            <w:pPr>
              <w:spacing w:after="0"/>
              <w:jc w:val="left"/>
            </w:pPr>
            <w:r>
              <w:rPr>
                <w:rFonts w:ascii="Aptos" w:hAnsi="Aptos"/>
                <w:b w:val="0"/>
                <w:sz w:val="17"/>
              </w:rPr>
              <w:t>Domain values and numeric values are unconstrained</w:t>
            </w:r>
          </w:p>
        </w:tc>
        <w:tc>
          <w:tcPr>
            <w:tcW w:type="dxa" w:w="3672"/>
            <w:vAlign w:val="center"/>
            <w:tcMar>
              <w:top w:w="100" w:type="dxa"/>
              <w:start w:w="120" w:type="dxa"/>
              <w:bottom w:w="100" w:type="dxa"/>
              <w:end w:w="120" w:type="dxa"/>
            </w:tcMar>
          </w:tcPr>
          <w:p>
            <w:pPr>
              <w:spacing w:after="0"/>
              <w:jc w:val="left"/>
            </w:pPr>
            <w:r>
              <w:rPr>
                <w:rFonts w:ascii="Aptos" w:hAnsi="Aptos"/>
                <w:b w:val="0"/>
                <w:sz w:val="17"/>
              </w:rPr>
              <w:t>Roles, statuses, priorities, conditions, dates, costs, downtime, and useful life have few or no database-level validity checks.</w:t>
            </w:r>
          </w:p>
        </w:tc>
      </w:tr>
    </w:tbl>
    <w:p>
      <w:pPr>
        <w:spacing w:after="40"/>
      </w:pPr>
    </w:p>
    <w:p>
      <w:r>
        <w:br w:type="page"/>
      </w:r>
    </w:p>
    <w:p>
      <w:pPr>
        <w:pStyle w:val="Heading1"/>
        <w:spacing w:before="260" w:after="100"/>
      </w:pPr>
      <w:r>
        <w:rPr>
          <w:rFonts w:ascii="Aptos" w:hAnsi="Aptos"/>
          <w:b/>
          <w:sz w:val="28"/>
        </w:rPr>
        <w:t>Security and Privacy Findings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c>
          <w:tcPr>
            <w:tcW w:type="dxa" w:w="1037"/>
            <w:vAlign w:val="center"/>
            <w:shd w:fill="1F4E78"/>
            <w:tcMar>
              <w:top w:w="100" w:type="dxa"/>
              <w:start w:w="120" w:type="dxa"/>
              <w:bottom w:w="100" w:type="dxa"/>
              <w:end w:w="120" w:type="dxa"/>
            </w:tcMar>
          </w:tcPr>
          <w:p>
            <w:pPr>
              <w:jc w:val="center"/>
            </w:pPr>
            <w:r>
              <w:rPr>
                <w:rFonts w:ascii="Aptos" w:hAnsi="Aptos"/>
                <w:b/>
                <w:color w:val="FFFFFF"/>
                <w:sz w:val="18"/>
              </w:rPr>
              <w:t>ID</w:t>
            </w:r>
          </w:p>
        </w:tc>
        <w:tc>
          <w:tcPr>
            <w:tcW w:type="dxa" w:w="1512"/>
            <w:vAlign w:val="center"/>
            <w:shd w:fill="1F4E78"/>
            <w:tcMar>
              <w:top w:w="100" w:type="dxa"/>
              <w:start w:w="120" w:type="dxa"/>
              <w:bottom w:w="100" w:type="dxa"/>
              <w:end w:w="120" w:type="dxa"/>
            </w:tcMar>
          </w:tcPr>
          <w:p>
            <w:pPr>
              <w:jc w:val="center"/>
            </w:pPr>
            <w:r>
              <w:rPr>
                <w:rFonts w:ascii="Aptos" w:hAnsi="Aptos"/>
                <w:b/>
                <w:color w:val="FFFFFF"/>
                <w:sz w:val="18"/>
              </w:rPr>
              <w:t>Severity</w:t>
            </w:r>
          </w:p>
        </w:tc>
        <w:tc>
          <w:tcPr>
            <w:tcW w:type="dxa" w:w="3139"/>
            <w:vAlign w:val="center"/>
            <w:shd w:fill="1F4E78"/>
            <w:tcMar>
              <w:top w:w="100" w:type="dxa"/>
              <w:start w:w="120" w:type="dxa"/>
              <w:bottom w:w="100" w:type="dxa"/>
              <w:end w:w="120" w:type="dxa"/>
            </w:tcMar>
          </w:tcPr>
          <w:p>
            <w:pPr>
              <w:jc w:val="left"/>
            </w:pPr>
            <w:r>
              <w:rPr>
                <w:rFonts w:ascii="Aptos" w:hAnsi="Aptos"/>
                <w:b/>
                <w:color w:val="FFFFFF"/>
                <w:sz w:val="18"/>
              </w:rPr>
              <w:t>Finding</w:t>
            </w:r>
          </w:p>
        </w:tc>
        <w:tc>
          <w:tcPr>
            <w:tcW w:type="dxa" w:w="3672"/>
            <w:vAlign w:val="center"/>
            <w:shd w:fill="1F4E78"/>
            <w:tcMar>
              <w:top w:w="100" w:type="dxa"/>
              <w:start w:w="120" w:type="dxa"/>
              <w:bottom w:w="100" w:type="dxa"/>
              <w:end w:w="120" w:type="dxa"/>
            </w:tcMar>
          </w:tcPr>
          <w:p>
            <w:pPr>
              <w:jc w:val="left"/>
            </w:pPr>
            <w:r>
              <w:rPr>
                <w:rFonts w:ascii="Aptos" w:hAnsi="Aptos"/>
                <w:b/>
                <w:color w:val="FFFFFF"/>
                <w:sz w:val="18"/>
              </w:rPr>
              <w:t>Impact</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01</w:t>
            </w:r>
          </w:p>
        </w:tc>
        <w:tc>
          <w:tcPr>
            <w:tcW w:type="dxa" w:w="1512"/>
            <w:vAlign w:val="center"/>
            <w:tcMar>
              <w:top w:w="100" w:type="dxa"/>
              <w:start w:w="120" w:type="dxa"/>
              <w:bottom w:w="100" w:type="dxa"/>
              <w:end w:w="120" w:type="dxa"/>
            </w:tcMar>
          </w:tcPr>
          <w:p>
            <w:pPr>
              <w:spacing w:after="0"/>
              <w:jc w:val="center"/>
            </w:pPr>
            <w:r>
              <w:rPr>
                <w:rFonts w:ascii="Aptos" w:hAnsi="Aptos"/>
                <w:b/>
                <w:sz w:val="17"/>
              </w:rPr>
              <w:t>Critical</w:t>
            </w:r>
          </w:p>
        </w:tc>
        <w:tc>
          <w:tcPr>
            <w:tcW w:type="dxa" w:w="3139"/>
            <w:vAlign w:val="center"/>
            <w:tcMar>
              <w:top w:w="100" w:type="dxa"/>
              <w:start w:w="120" w:type="dxa"/>
              <w:bottom w:w="100" w:type="dxa"/>
              <w:end w:w="120" w:type="dxa"/>
            </w:tcMar>
          </w:tcPr>
          <w:p>
            <w:pPr>
              <w:spacing w:after="0"/>
              <w:jc w:val="left"/>
            </w:pPr>
            <w:r>
              <w:rPr>
                <w:rFonts w:ascii="Aptos" w:hAnsi="Aptos"/>
                <w:b w:val="0"/>
                <w:sz w:val="17"/>
              </w:rPr>
              <w:t>No scoped RBAC model</w:t>
            </w:r>
          </w:p>
        </w:tc>
        <w:tc>
          <w:tcPr>
            <w:tcW w:type="dxa" w:w="3672"/>
            <w:vAlign w:val="center"/>
            <w:tcMar>
              <w:top w:w="100" w:type="dxa"/>
              <w:start w:w="120" w:type="dxa"/>
              <w:bottom w:w="100" w:type="dxa"/>
              <w:end w:w="120" w:type="dxa"/>
            </w:tcMar>
          </w:tcPr>
          <w:p>
            <w:pPr>
              <w:spacing w:after="0"/>
              <w:jc w:val="left"/>
            </w:pPr>
            <w:r>
              <w:rPr>
                <w:rFonts w:ascii="Aptos" w:hAnsi="Aptos"/>
                <w:b w:val="0"/>
                <w:sz w:val="17"/>
              </w:rPr>
              <w:t>A single users.role field does not implement organizational-scope access control or exceptional grants. The design cannot by itself prevent a college manager from browsing assets outside their college.</w:t>
            </w:r>
          </w:p>
        </w:tc>
      </w:tr>
      <w:tr>
        <w:tc>
          <w:tcPr>
            <w:tcW w:type="dxa" w:w="1037"/>
            <w:vAlign w:val="center"/>
            <w:tcMar>
              <w:top w:w="100" w:type="dxa"/>
              <w:start w:w="120" w:type="dxa"/>
              <w:bottom w:w="100" w:type="dxa"/>
              <w:end w:w="120" w:type="dxa"/>
            </w:tcMar>
            <w:shd w:fill="F4F8FB"/>
          </w:tcPr>
          <w:p>
            <w:pPr>
              <w:spacing w:after="0"/>
              <w:jc w:val="center"/>
            </w:pPr>
            <w:r>
              <w:rPr>
                <w:rFonts w:ascii="Aptos" w:hAnsi="Aptos"/>
                <w:b w:val="0"/>
                <w:sz w:val="17"/>
              </w:rPr>
              <w:t>02</w:t>
            </w:r>
          </w:p>
        </w:tc>
        <w:tc>
          <w:tcPr>
            <w:tcW w:type="dxa" w:w="1512"/>
            <w:vAlign w:val="center"/>
            <w:tcMar>
              <w:top w:w="100" w:type="dxa"/>
              <w:start w:w="120" w:type="dxa"/>
              <w:bottom w:w="100" w:type="dxa"/>
              <w:end w:w="120" w:type="dxa"/>
            </w:tcMar>
            <w:shd w:fill="F4F8FB"/>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shd w:fill="F4F8FB"/>
          </w:tcPr>
          <w:p>
            <w:pPr>
              <w:spacing w:after="0"/>
              <w:jc w:val="left"/>
            </w:pPr>
            <w:r>
              <w:rPr>
                <w:rFonts w:ascii="Aptos" w:hAnsi="Aptos"/>
                <w:b w:val="0"/>
                <w:sz w:val="17"/>
              </w:rPr>
              <w:t>No separation of sensitive permissions</w:t>
            </w:r>
          </w:p>
        </w:tc>
        <w:tc>
          <w:tcPr>
            <w:tcW w:type="dxa" w:w="3672"/>
            <w:vAlign w:val="center"/>
            <w:tcMar>
              <w:top w:w="100" w:type="dxa"/>
              <w:start w:w="120" w:type="dxa"/>
              <w:bottom w:w="100" w:type="dxa"/>
              <w:end w:w="120" w:type="dxa"/>
            </w:tcMar>
            <w:shd w:fill="F4F8FB"/>
          </w:tcPr>
          <w:p>
            <w:pPr>
              <w:spacing w:after="0"/>
              <w:jc w:val="left"/>
            </w:pPr>
            <w:r>
              <w:rPr>
                <w:rFonts w:ascii="Aptos" w:hAnsi="Aptos"/>
                <w:b w:val="0"/>
                <w:sz w:val="17"/>
              </w:rPr>
              <w:t>The schema has no authorization model separating asset registry actions, procurement documents, and retirement approvals, as required by the brief.</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03</w:t>
            </w:r>
          </w:p>
        </w:tc>
        <w:tc>
          <w:tcPr>
            <w:tcW w:type="dxa" w:w="1512"/>
            <w:vAlign w:val="center"/>
            <w:tcMar>
              <w:top w:w="100" w:type="dxa"/>
              <w:start w:w="120" w:type="dxa"/>
              <w:bottom w:w="100" w:type="dxa"/>
              <w:end w:w="120" w:type="dxa"/>
            </w:tcMar>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tcPr>
          <w:p>
            <w:pPr>
              <w:spacing w:after="0"/>
              <w:jc w:val="left"/>
            </w:pPr>
            <w:r>
              <w:rPr>
                <w:rFonts w:ascii="Aptos" w:hAnsi="Aptos"/>
                <w:b w:val="0"/>
                <w:sz w:val="17"/>
              </w:rPr>
              <w:t>Document protection is not modelled</w:t>
            </w:r>
          </w:p>
        </w:tc>
        <w:tc>
          <w:tcPr>
            <w:tcW w:type="dxa" w:w="3672"/>
            <w:vAlign w:val="center"/>
            <w:tcMar>
              <w:top w:w="100" w:type="dxa"/>
              <w:start w:w="120" w:type="dxa"/>
              <w:bottom w:w="100" w:type="dxa"/>
              <w:end w:w="120" w:type="dxa"/>
            </w:tcMar>
          </w:tcPr>
          <w:p>
            <w:pPr>
              <w:spacing w:after="0"/>
              <w:jc w:val="left"/>
            </w:pPr>
            <w:r>
              <w:rPr>
                <w:rFonts w:ascii="Aptos" w:hAnsi="Aptos"/>
                <w:b w:val="0"/>
                <w:sz w:val="17"/>
              </w:rPr>
              <w:t>Invoice and warranty fields retain plain URLs only. There is no attachment metadata, access classification, malware/type-check state, or short-lived authorization record.</w:t>
            </w:r>
          </w:p>
        </w:tc>
      </w:tr>
      <w:tr>
        <w:tc>
          <w:tcPr>
            <w:tcW w:type="dxa" w:w="1037"/>
            <w:vAlign w:val="center"/>
            <w:tcMar>
              <w:top w:w="100" w:type="dxa"/>
              <w:start w:w="120" w:type="dxa"/>
              <w:bottom w:w="100" w:type="dxa"/>
              <w:end w:w="120" w:type="dxa"/>
            </w:tcMar>
            <w:shd w:fill="F4F8FB"/>
          </w:tcPr>
          <w:p>
            <w:pPr>
              <w:spacing w:after="0"/>
              <w:jc w:val="center"/>
            </w:pPr>
            <w:r>
              <w:rPr>
                <w:rFonts w:ascii="Aptos" w:hAnsi="Aptos"/>
                <w:b w:val="0"/>
                <w:sz w:val="17"/>
              </w:rPr>
              <w:t>04</w:t>
            </w:r>
          </w:p>
        </w:tc>
        <w:tc>
          <w:tcPr>
            <w:tcW w:type="dxa" w:w="1512"/>
            <w:vAlign w:val="center"/>
            <w:tcMar>
              <w:top w:w="100" w:type="dxa"/>
              <w:start w:w="120" w:type="dxa"/>
              <w:bottom w:w="100" w:type="dxa"/>
              <w:end w:w="120" w:type="dxa"/>
            </w:tcMar>
            <w:shd w:fill="F4F8FB"/>
          </w:tcPr>
          <w:p>
            <w:pPr>
              <w:spacing w:after="0"/>
              <w:jc w:val="center"/>
            </w:pPr>
            <w:r>
              <w:rPr>
                <w:rFonts w:ascii="Aptos" w:hAnsi="Aptos"/>
                <w:b/>
                <w:sz w:val="17"/>
              </w:rPr>
              <w:t>Critical</w:t>
            </w:r>
          </w:p>
        </w:tc>
        <w:tc>
          <w:tcPr>
            <w:tcW w:type="dxa" w:w="3139"/>
            <w:vAlign w:val="center"/>
            <w:tcMar>
              <w:top w:w="100" w:type="dxa"/>
              <w:start w:w="120" w:type="dxa"/>
              <w:bottom w:w="100" w:type="dxa"/>
              <w:end w:w="120" w:type="dxa"/>
            </w:tcMar>
            <w:shd w:fill="F4F8FB"/>
          </w:tcPr>
          <w:p>
            <w:pPr>
              <w:spacing w:after="0"/>
              <w:jc w:val="left"/>
            </w:pPr>
            <w:r>
              <w:rPr>
                <w:rFonts w:ascii="Aptos" w:hAnsi="Aptos"/>
                <w:b w:val="0"/>
                <w:sz w:val="17"/>
              </w:rPr>
              <w:t>Cascade deletes can erase audit evidence</w:t>
            </w:r>
          </w:p>
        </w:tc>
        <w:tc>
          <w:tcPr>
            <w:tcW w:type="dxa" w:w="3672"/>
            <w:vAlign w:val="center"/>
            <w:tcMar>
              <w:top w:w="100" w:type="dxa"/>
              <w:start w:w="120" w:type="dxa"/>
              <w:bottom w:w="100" w:type="dxa"/>
              <w:end w:w="120" w:type="dxa"/>
            </w:tcMar>
            <w:shd w:fill="F4F8FB"/>
          </w:tcPr>
          <w:p>
            <w:pPr>
              <w:spacing w:after="0"/>
              <w:jc w:val="left"/>
            </w:pPr>
            <w:r>
              <w:rPr>
                <w:rFonts w:ascii="Aptos" w:hAnsi="Aptos"/>
                <w:b w:val="0"/>
                <w:sz w:val="17"/>
              </w:rPr>
              <w:t>Deleting an asset cascades into custody transfers, work orders, stocktake observations, and risk evaluations. This can remove historical evidence that must remain available for audit.</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05</w:t>
            </w:r>
          </w:p>
        </w:tc>
        <w:tc>
          <w:tcPr>
            <w:tcW w:type="dxa" w:w="1512"/>
            <w:vAlign w:val="center"/>
            <w:tcMar>
              <w:top w:w="100" w:type="dxa"/>
              <w:start w:w="120" w:type="dxa"/>
              <w:bottom w:w="100" w:type="dxa"/>
              <w:end w:w="120" w:type="dxa"/>
            </w:tcMar>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tcPr>
          <w:p>
            <w:pPr>
              <w:spacing w:after="0"/>
              <w:jc w:val="left"/>
            </w:pPr>
            <w:r>
              <w:rPr>
                <w:rFonts w:ascii="Aptos" w:hAnsi="Aptos"/>
                <w:b w:val="0"/>
                <w:sz w:val="17"/>
              </w:rPr>
              <w:t>No immutable audit log</w:t>
            </w:r>
          </w:p>
        </w:tc>
        <w:tc>
          <w:tcPr>
            <w:tcW w:type="dxa" w:w="3672"/>
            <w:vAlign w:val="center"/>
            <w:tcMar>
              <w:top w:w="100" w:type="dxa"/>
              <w:start w:w="120" w:type="dxa"/>
              <w:bottom w:w="100" w:type="dxa"/>
              <w:end w:w="120" w:type="dxa"/>
            </w:tcMar>
          </w:tcPr>
          <w:p>
            <w:pPr>
              <w:spacing w:after="0"/>
              <w:jc w:val="left"/>
            </w:pPr>
            <w:r>
              <w:rPr>
                <w:rFonts w:ascii="Aptos" w:hAnsi="Aptos"/>
                <w:b w:val="0"/>
                <w:sz w:val="17"/>
              </w:rPr>
              <w:t>Transfers, financial changes, permission changes, retirement approvals, exports, and prediction events do not have a dedicated tamper-evident audit trail.</w:t>
            </w:r>
          </w:p>
        </w:tc>
      </w:tr>
      <w:tr>
        <w:tc>
          <w:tcPr>
            <w:tcW w:type="dxa" w:w="1037"/>
            <w:vAlign w:val="center"/>
            <w:tcMar>
              <w:top w:w="100" w:type="dxa"/>
              <w:start w:w="120" w:type="dxa"/>
              <w:bottom w:w="100" w:type="dxa"/>
              <w:end w:w="120" w:type="dxa"/>
            </w:tcMar>
            <w:shd w:fill="F4F8FB"/>
          </w:tcPr>
          <w:p>
            <w:pPr>
              <w:spacing w:after="0"/>
              <w:jc w:val="center"/>
            </w:pPr>
            <w:r>
              <w:rPr>
                <w:rFonts w:ascii="Aptos" w:hAnsi="Aptos"/>
                <w:b w:val="0"/>
                <w:sz w:val="17"/>
              </w:rPr>
              <w:t>06</w:t>
            </w:r>
          </w:p>
        </w:tc>
        <w:tc>
          <w:tcPr>
            <w:tcW w:type="dxa" w:w="1512"/>
            <w:vAlign w:val="center"/>
            <w:tcMar>
              <w:top w:w="100" w:type="dxa"/>
              <w:start w:w="120" w:type="dxa"/>
              <w:bottom w:w="100" w:type="dxa"/>
              <w:end w:w="120" w:type="dxa"/>
            </w:tcMar>
            <w:shd w:fill="F4F8FB"/>
          </w:tcPr>
          <w:p>
            <w:pPr>
              <w:spacing w:after="0"/>
              <w:jc w:val="center"/>
            </w:pPr>
            <w:r>
              <w:rPr>
                <w:rFonts w:ascii="Aptos" w:hAnsi="Aptos"/>
                <w:b/>
                <w:sz w:val="17"/>
              </w:rPr>
              <w:t>Medium</w:t>
            </w:r>
          </w:p>
        </w:tc>
        <w:tc>
          <w:tcPr>
            <w:tcW w:type="dxa" w:w="3139"/>
            <w:vAlign w:val="center"/>
            <w:tcMar>
              <w:top w:w="100" w:type="dxa"/>
              <w:start w:w="120" w:type="dxa"/>
              <w:bottom w:w="100" w:type="dxa"/>
              <w:end w:w="120" w:type="dxa"/>
            </w:tcMar>
            <w:shd w:fill="F4F8FB"/>
          </w:tcPr>
          <w:p>
            <w:pPr>
              <w:spacing w:after="0"/>
              <w:jc w:val="left"/>
            </w:pPr>
            <w:r>
              <w:rPr>
                <w:rFonts w:ascii="Aptos" w:hAnsi="Aptos"/>
                <w:b w:val="0"/>
                <w:sz w:val="17"/>
              </w:rPr>
              <w:t>Externally exposed UUIDs may leak information</w:t>
            </w:r>
          </w:p>
        </w:tc>
        <w:tc>
          <w:tcPr>
            <w:tcW w:type="dxa" w:w="3672"/>
            <w:vAlign w:val="center"/>
            <w:tcMar>
              <w:top w:w="100" w:type="dxa"/>
              <w:start w:w="120" w:type="dxa"/>
              <w:bottom w:w="100" w:type="dxa"/>
              <w:end w:w="120" w:type="dxa"/>
            </w:tcMar>
            <w:shd w:fill="F4F8FB"/>
          </w:tcPr>
          <w:p>
            <w:pPr>
              <w:spacing w:after="0"/>
              <w:jc w:val="left"/>
            </w:pPr>
            <w:r>
              <w:rPr>
                <w:rFonts w:ascii="Aptos" w:hAnsi="Aptos"/>
                <w:b w:val="0"/>
                <w:sz w:val="17"/>
              </w:rPr>
              <w:t>MySQL uuid() commonly creates time-based UUIDs. If identifiers are exposed through APIs, this may reveal generation timing and make enumeration analysis easier.</w:t>
            </w:r>
          </w:p>
        </w:tc>
      </w:tr>
      <w:tr>
        <w:tc>
          <w:tcPr>
            <w:tcW w:type="dxa" w:w="1037"/>
            <w:vAlign w:val="center"/>
            <w:tcMar>
              <w:top w:w="100" w:type="dxa"/>
              <w:start w:w="120" w:type="dxa"/>
              <w:bottom w:w="100" w:type="dxa"/>
              <w:end w:w="120" w:type="dxa"/>
            </w:tcMar>
          </w:tcPr>
          <w:p>
            <w:pPr>
              <w:spacing w:after="0"/>
              <w:jc w:val="center"/>
            </w:pPr>
            <w:r>
              <w:rPr>
                <w:rFonts w:ascii="Aptos" w:hAnsi="Aptos"/>
                <w:b w:val="0"/>
                <w:sz w:val="17"/>
              </w:rPr>
              <w:t>07</w:t>
            </w:r>
          </w:p>
        </w:tc>
        <w:tc>
          <w:tcPr>
            <w:tcW w:type="dxa" w:w="1512"/>
            <w:vAlign w:val="center"/>
            <w:tcMar>
              <w:top w:w="100" w:type="dxa"/>
              <w:start w:w="120" w:type="dxa"/>
              <w:bottom w:w="100" w:type="dxa"/>
              <w:end w:w="120" w:type="dxa"/>
            </w:tcMar>
          </w:tcPr>
          <w:p>
            <w:pPr>
              <w:spacing w:after="0"/>
              <w:jc w:val="center"/>
            </w:pPr>
            <w:r>
              <w:rPr>
                <w:rFonts w:ascii="Aptos" w:hAnsi="Aptos"/>
                <w:b/>
                <w:sz w:val="17"/>
              </w:rPr>
              <w:t>High</w:t>
            </w:r>
          </w:p>
        </w:tc>
        <w:tc>
          <w:tcPr>
            <w:tcW w:type="dxa" w:w="3139"/>
            <w:vAlign w:val="center"/>
            <w:tcMar>
              <w:top w:w="100" w:type="dxa"/>
              <w:start w:w="120" w:type="dxa"/>
              <w:bottom w:w="100" w:type="dxa"/>
              <w:end w:w="120" w:type="dxa"/>
            </w:tcMar>
          </w:tcPr>
          <w:p>
            <w:pPr>
              <w:spacing w:after="0"/>
              <w:jc w:val="left"/>
            </w:pPr>
            <w:r>
              <w:rPr>
                <w:rFonts w:ascii="Aptos" w:hAnsi="Aptos"/>
                <w:b w:val="0"/>
                <w:sz w:val="17"/>
              </w:rPr>
              <w:t>Role and scope are not validated for workflow actors</w:t>
            </w:r>
          </w:p>
        </w:tc>
        <w:tc>
          <w:tcPr>
            <w:tcW w:type="dxa" w:w="3672"/>
            <w:vAlign w:val="center"/>
            <w:tcMar>
              <w:top w:w="100" w:type="dxa"/>
              <w:start w:w="120" w:type="dxa"/>
              <w:bottom w:w="100" w:type="dxa"/>
              <w:end w:w="120" w:type="dxa"/>
            </w:tcMar>
          </w:tcPr>
          <w:p>
            <w:pPr>
              <w:spacing w:after="0"/>
              <w:jc w:val="left"/>
            </w:pPr>
            <w:r>
              <w:rPr>
                <w:rFonts w:ascii="Aptos" w:hAnsi="Aptos"/>
                <w:b w:val="0"/>
                <w:sz w:val="17"/>
              </w:rPr>
              <w:t>The model does not enforce that technicians, approvers, or other actors have the required role and organizational scope for the affected asset.</w:t>
            </w:r>
          </w:p>
        </w:tc>
      </w:tr>
    </w:tbl>
    <w:p>
      <w:pPr>
        <w:spacing w:after="40"/>
      </w:pPr>
    </w:p>
    <w:p>
      <w:pPr>
        <w:pStyle w:val="Heading1"/>
        <w:spacing w:before="260" w:after="100"/>
      </w:pPr>
      <w:r>
        <w:rPr>
          <w:rFonts w:ascii="Aptos" w:hAnsi="Aptos"/>
          <w:b/>
          <w:sz w:val="28"/>
        </w:rPr>
        <w:t>Examples of Relevant SQL Locations</w:t>
      </w:r>
    </w:p>
    <w:p>
      <w:pPr>
        <w:spacing w:after="60" w:line="252" w:lineRule="auto"/>
      </w:pPr>
      <w:r>
        <w:rPr>
          <w:rFonts w:ascii="Aptos" w:hAnsi="Aptos"/>
          <w:b/>
          <w:sz w:val="19"/>
        </w:rPr>
        <w:t xml:space="preserve">data.sql lines 80 to 124: </w:t>
      </w:r>
      <w:r>
        <w:rPr>
          <w:rFonts w:ascii="Aptos" w:hAnsi="Aptos"/>
          <w:b w:val="0"/>
          <w:sz w:val="19"/>
        </w:rPr>
        <w:t>Assets table: direct current location and custodian references, with no enforced history linkage.</w:t>
      </w:r>
    </w:p>
    <w:p>
      <w:pPr>
        <w:spacing w:after="60" w:line="252" w:lineRule="auto"/>
      </w:pPr>
      <w:r>
        <w:rPr>
          <w:rFonts w:ascii="Aptos" w:hAnsi="Aptos"/>
          <w:b/>
          <w:sz w:val="19"/>
        </w:rPr>
        <w:t xml:space="preserve">data.sql lines 132 to 166: </w:t>
      </w:r>
      <w:r>
        <w:rPr>
          <w:rFonts w:ascii="Aptos" w:hAnsi="Aptos"/>
          <w:b w:val="0"/>
          <w:sz w:val="19"/>
        </w:rPr>
        <w:t>Custody transfer table: approval status exists, but effective timing, reason, and workflow controls are absent.</w:t>
      </w:r>
    </w:p>
    <w:p>
      <w:pPr>
        <w:spacing w:after="60" w:line="252" w:lineRule="auto"/>
      </w:pPr>
      <w:r>
        <w:rPr>
          <w:rFonts w:ascii="Aptos" w:hAnsi="Aptos"/>
          <w:b/>
          <w:sz w:val="19"/>
        </w:rPr>
        <w:t xml:space="preserve">data.sql lines 177 to 188 and 453 to 465: </w:t>
      </w:r>
      <w:r>
        <w:rPr>
          <w:rFonts w:ascii="Aptos" w:hAnsi="Aptos"/>
          <w:b w:val="0"/>
          <w:sz w:val="19"/>
        </w:rPr>
        <w:t>Invoice and warranty document URLs are stored as plain text.</w:t>
      </w:r>
    </w:p>
    <w:p>
      <w:pPr>
        <w:spacing w:after="60" w:line="252" w:lineRule="auto"/>
      </w:pPr>
      <w:r>
        <w:rPr>
          <w:rFonts w:ascii="Aptos" w:hAnsi="Aptos"/>
          <w:b/>
          <w:sz w:val="19"/>
        </w:rPr>
        <w:t xml:space="preserve">data.sql lines 422 to 435: </w:t>
      </w:r>
      <w:r>
        <w:rPr>
          <w:rFonts w:ascii="Aptos" w:hAnsi="Aptos"/>
          <w:b w:val="0"/>
          <w:sz w:val="19"/>
        </w:rPr>
        <w:t>Users table: a single role field and department reference do not model scoped grants.</w:t>
      </w:r>
    </w:p>
    <w:p>
      <w:pPr>
        <w:spacing w:after="60" w:line="252" w:lineRule="auto"/>
      </w:pPr>
      <w:r>
        <w:rPr>
          <w:rFonts w:ascii="Aptos" w:hAnsi="Aptos"/>
          <w:b/>
          <w:sz w:val="19"/>
        </w:rPr>
        <w:t xml:space="preserve">data.sql lines 499 and related cascade constraints: </w:t>
      </w:r>
      <w:r>
        <w:rPr>
          <w:rFonts w:ascii="Aptos" w:hAnsi="Aptos"/>
          <w:b w:val="0"/>
          <w:sz w:val="19"/>
        </w:rPr>
        <w:t>Asset deletion cascades to maintenance and historical operational records.</w:t>
      </w:r>
    </w:p>
    <w:p>
      <w:pPr>
        <w:pStyle w:val="Heading1"/>
        <w:spacing w:before="260" w:after="100"/>
      </w:pPr>
      <w:r>
        <w:rPr>
          <w:rFonts w:ascii="Aptos" w:hAnsi="Aptos"/>
          <w:b/>
          <w:sz w:val="28"/>
        </w:rPr>
        <w:t>Conclusion</w:t>
      </w:r>
    </w:p>
    <w:p>
      <w:pPr>
        <w:spacing w:before="0" w:after="160" w:line="269" w:lineRule="auto"/>
      </w:pPr>
      <w:r>
        <w:rPr>
          <w:rFonts w:ascii="Aptos" w:hAnsi="Aptos"/>
          <w:b w:val="0"/>
          <w:sz w:val="21"/>
        </w:rPr>
        <w:t>The submitted ERD and SQL schema should be treated as an early foundation rather than a production-ready database design for this project. Before implementation proceeds, the design needs alignment with PostgreSQL and the project requirements for immutable operational history, controlled retirement, scoped authorization, protected document access, and durable auditing. These gaps are material because they affect the core acceptance scenarios for custody, maintenance, procurement evidence, reporting, and authorization.</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46464"/>
        <w:sz w:val="17"/>
      </w:rPr>
      <w:t>Smart Asset Inventory Database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