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1F07D">
      <w:pPr>
        <w:spacing w:before="0" w:after="80"/>
      </w:pPr>
      <w:r>
        <w:rPr>
          <w:rFonts w:ascii="Calibri" w:hAnsi="Calibri"/>
          <w:b/>
          <w:color w:val="003366"/>
          <w:sz w:val="44"/>
        </w:rPr>
        <w:t>DAILY CYBERSECURITY STATUS REPORT</w:t>
      </w:r>
    </w:p>
    <w:p w14:paraId="53B768FD">
      <w:pPr>
        <w:spacing w:after="360"/>
      </w:pPr>
      <w:r>
        <w:rPr>
          <w:rFonts w:ascii="Calibri" w:hAnsi="Calibri"/>
          <w:i/>
          <w:color w:val="4682B4"/>
          <w:sz w:val="22"/>
        </w:rPr>
        <w:t>Date: Tuesday, September 22, 2026  |  Role: Cybersecurity Specialist</w:t>
      </w:r>
    </w:p>
    <w:p w14:paraId="79DAC7A0">
      <w:pPr>
        <w:pBdr>
          <w:bottom w:val="single" w:color="003366" w:sz="12" w:space="1"/>
        </w:pBdr>
        <w:spacing w:after="280"/>
      </w:pPr>
    </w:p>
    <w:p w14:paraId="146C6372">
      <w:pPr>
        <w:spacing w:before="320" w:after="120"/>
      </w:pPr>
      <w:r>
        <w:rPr>
          <w:rFonts w:ascii="Calibri" w:hAnsi="Calibri"/>
          <w:b/>
          <w:color w:val="003366"/>
          <w:sz w:val="28"/>
        </w:rPr>
        <w:t>1. Executive Summary</w:t>
      </w:r>
    </w:p>
    <w:p w14:paraId="091EE784">
      <w:pPr>
        <w:spacing w:after="240" w:line="276" w:lineRule="auto"/>
      </w:pPr>
      <w:r>
        <w:rPr>
          <w:rFonts w:ascii="Calibri" w:hAnsi="Calibri"/>
          <w:color w:val="333333"/>
          <w:sz w:val="22"/>
        </w:rPr>
        <w:t>Today's security focus was centered on finalizing core cybersecurity documentation, baseline model definitions, and completing specific hands-on vulnerability labs on PortSwigger Web Security Academy. All pre-implementation security models and testing frameworks have been successfully completed. Full manual application security testing for the Flutter application is currently pending the handover of project deliverables from the development teams.</w:t>
      </w:r>
    </w:p>
    <w:p w14:paraId="631B135D">
      <w:pPr>
        <w:spacing w:before="320" w:after="120"/>
      </w:pPr>
      <w:r>
        <w:rPr>
          <w:rFonts w:ascii="Calibri" w:hAnsi="Calibri"/>
          <w:b/>
          <w:color w:val="003366"/>
          <w:sz w:val="28"/>
        </w:rPr>
        <w:t>2. Completed Documentation &amp; Security Models</w:t>
      </w:r>
    </w:p>
    <w:p w14:paraId="7A0DE105">
      <w:pPr>
        <w:pStyle w:val="23"/>
        <w:spacing w:after="80" w:line="276" w:lineRule="auto"/>
      </w:pPr>
      <w:r>
        <w:rPr>
          <w:rFonts w:ascii="Calibri" w:hAnsi="Calibri"/>
          <w:b/>
          <w:color w:val="333333"/>
          <w:sz w:val="22"/>
        </w:rPr>
        <w:t xml:space="preserve">Authentication and Authorization Model: </w:t>
      </w:r>
      <w:r>
        <w:rPr>
          <w:rFonts w:ascii="Calibri" w:hAnsi="Calibri"/>
          <w:color w:val="333333"/>
          <w:sz w:val="22"/>
        </w:rPr>
        <w:t>Defined access control rules, token-based authentication workflows, and identity verification standards.</w:t>
      </w:r>
    </w:p>
    <w:p w14:paraId="055956BA">
      <w:pPr>
        <w:pStyle w:val="23"/>
        <w:spacing w:after="80" w:line="276" w:lineRule="auto"/>
      </w:pPr>
      <w:r>
        <w:rPr>
          <w:rFonts w:ascii="Calibri" w:hAnsi="Calibri"/>
          <w:b/>
          <w:color w:val="333333"/>
          <w:sz w:val="22"/>
        </w:rPr>
        <w:t xml:space="preserve">Organizational Scope: </w:t>
      </w:r>
      <w:r>
        <w:rPr>
          <w:rFonts w:ascii="Calibri" w:hAnsi="Calibri"/>
          <w:color w:val="333333"/>
          <w:sz w:val="22"/>
        </w:rPr>
        <w:t>Established security boundaries, compliance constraints, and operational assets within scope.</w:t>
      </w:r>
    </w:p>
    <w:p w14:paraId="1432D551">
      <w:pPr>
        <w:pStyle w:val="23"/>
        <w:spacing w:after="80" w:line="276" w:lineRule="auto"/>
      </w:pPr>
      <w:r>
        <w:rPr>
          <w:rFonts w:ascii="Calibri" w:hAnsi="Calibri"/>
          <w:b/>
          <w:color w:val="333333"/>
          <w:sz w:val="22"/>
        </w:rPr>
        <w:t xml:space="preserve">RBAC Test &amp; RBAC Model: </w:t>
      </w:r>
      <w:r>
        <w:rPr>
          <w:rFonts w:ascii="Calibri" w:hAnsi="Calibri"/>
          <w:color w:val="333333"/>
          <w:sz w:val="22"/>
        </w:rPr>
        <w:t>Designed Role-Based Access Control matrix, permission hierarchies, and verification test suites.</w:t>
      </w:r>
    </w:p>
    <w:p w14:paraId="3CDF565A">
      <w:pPr>
        <w:pStyle w:val="23"/>
        <w:spacing w:after="80" w:line="276" w:lineRule="auto"/>
      </w:pPr>
      <w:r>
        <w:rPr>
          <w:rFonts w:ascii="Calibri" w:hAnsi="Calibri"/>
          <w:b/>
          <w:color w:val="333333"/>
          <w:sz w:val="22"/>
        </w:rPr>
        <w:t xml:space="preserve">Security Requirements: </w:t>
      </w:r>
      <w:r>
        <w:rPr>
          <w:rFonts w:ascii="Calibri" w:hAnsi="Calibri"/>
          <w:color w:val="333333"/>
          <w:sz w:val="22"/>
        </w:rPr>
        <w:t>Formulated baseline functional and non-functional security specifications for application components.</w:t>
      </w:r>
    </w:p>
    <w:p w14:paraId="08DCE718">
      <w:pPr>
        <w:pStyle w:val="23"/>
        <w:spacing w:after="80" w:line="276" w:lineRule="auto"/>
      </w:pPr>
      <w:r>
        <w:rPr>
          <w:rFonts w:ascii="Calibri" w:hAnsi="Calibri"/>
          <w:b/>
          <w:color w:val="333333"/>
          <w:sz w:val="22"/>
        </w:rPr>
        <w:t xml:space="preserve">Security Test Cases (Flutter): </w:t>
      </w:r>
      <w:r>
        <w:rPr>
          <w:rFonts w:ascii="Calibri" w:hAnsi="Calibri"/>
          <w:color w:val="333333"/>
          <w:sz w:val="22"/>
        </w:rPr>
        <w:t>Developed comprehensive test cases covering client-side storage, reverse engineering protection, and API communications.</w:t>
      </w:r>
    </w:p>
    <w:p w14:paraId="3B9FF1D3">
      <w:pPr>
        <w:pStyle w:val="23"/>
        <w:spacing w:after="80" w:line="276" w:lineRule="auto"/>
      </w:pPr>
      <w:r>
        <w:rPr>
          <w:rFonts w:ascii="Calibri" w:hAnsi="Calibri"/>
          <w:b/>
          <w:color w:val="333333"/>
          <w:sz w:val="22"/>
        </w:rPr>
        <w:t xml:space="preserve">Threat Model: </w:t>
      </w:r>
      <w:r>
        <w:rPr>
          <w:rFonts w:ascii="Calibri" w:hAnsi="Calibri"/>
          <w:color w:val="333333"/>
          <w:sz w:val="22"/>
        </w:rPr>
        <w:t>Identified potential threat vectors, risk scenarios, and mitigation strategies (STRIDE methodology).</w:t>
      </w:r>
    </w:p>
    <w:p w14:paraId="004CE221">
      <w:pPr>
        <w:pStyle w:val="23"/>
        <w:spacing w:after="80" w:line="276" w:lineRule="auto"/>
      </w:pPr>
      <w:r>
        <w:rPr>
          <w:rFonts w:ascii="Calibri" w:hAnsi="Calibri"/>
          <w:b/>
          <w:color w:val="333333"/>
          <w:sz w:val="22"/>
        </w:rPr>
        <w:t xml:space="preserve">Secure Database Report: </w:t>
      </w:r>
      <w:r>
        <w:rPr>
          <w:rFonts w:ascii="Calibri" w:hAnsi="Calibri"/>
          <w:color w:val="333333"/>
          <w:sz w:val="22"/>
        </w:rPr>
        <w:t>Compiled security hardening guidelines, encryption requirements, and auditing rules for backend databases.</w:t>
      </w:r>
    </w:p>
    <w:p w14:paraId="01E92721">
      <w:pPr>
        <w:spacing w:before="320" w:after="120"/>
      </w:pPr>
      <w:r>
        <w:rPr>
          <w:rFonts w:ascii="Calibri" w:hAnsi="Calibri"/>
          <w:b/>
          <w:color w:val="003366"/>
          <w:sz w:val="28"/>
        </w:rPr>
        <w:t>3. Completed PortSwigger Security Labs &amp; Practical Exercises</w:t>
      </w:r>
    </w:p>
    <w:p w14:paraId="56E274A7">
      <w:pPr>
        <w:spacing w:after="160"/>
      </w:pPr>
      <w:r>
        <w:rPr>
          <w:rFonts w:ascii="Calibri" w:hAnsi="Calibri"/>
          <w:color w:val="333333"/>
          <w:sz w:val="22"/>
        </w:rPr>
        <w:t>The following practical web security vulnerability labs were successfully solved on PortSwigger Web Security Academy today:</w:t>
      </w:r>
    </w:p>
    <w:tbl>
      <w:tblPr>
        <w:tblStyle w:val="12"/>
        <w:tblW w:w="0" w:type="auto"/>
        <w:jc w:val="center"/>
        <w:tblLayout w:type="fixed"/>
        <w:tblCellMar>
          <w:top w:w="0" w:type="dxa"/>
          <w:left w:w="108" w:type="dxa"/>
          <w:bottom w:w="0" w:type="dxa"/>
          <w:right w:w="108" w:type="dxa"/>
        </w:tblCellMar>
      </w:tblPr>
      <w:tblGrid>
        <w:gridCol w:w="3120"/>
        <w:gridCol w:w="3120"/>
        <w:gridCol w:w="3120"/>
      </w:tblGrid>
      <w:tr w14:paraId="69C167C2">
        <w:tblPrEx>
          <w:tblCellMar>
            <w:top w:w="0" w:type="dxa"/>
            <w:left w:w="108" w:type="dxa"/>
            <w:bottom w:w="0" w:type="dxa"/>
            <w:right w:w="108" w:type="dxa"/>
          </w:tblCellMar>
        </w:tblPrEx>
        <w:trPr>
          <w:jc w:val="center"/>
        </w:trPr>
        <w:tc>
          <w:tcPr>
            <w:tcW w:w="2592" w:type="dxa"/>
            <w:shd w:val="clear" w:color="auto" w:fill="003366"/>
            <w:tcMar>
              <w:top w:w="120" w:type="dxa"/>
              <w:left w:w="150" w:type="dxa"/>
              <w:bottom w:w="120" w:type="dxa"/>
              <w:right w:w="150" w:type="dxa"/>
            </w:tcMar>
          </w:tcPr>
          <w:p w14:paraId="7A69D4F8">
            <w:r>
              <w:rPr>
                <w:rFonts w:ascii="Calibri" w:hAnsi="Calibri"/>
                <w:b/>
                <w:color w:val="FFFFFF"/>
                <w:sz w:val="20"/>
              </w:rPr>
              <w:t>Category / Module</w:t>
            </w:r>
          </w:p>
        </w:tc>
        <w:tc>
          <w:tcPr>
            <w:tcW w:w="3888" w:type="dxa"/>
            <w:shd w:val="clear" w:color="auto" w:fill="003366"/>
            <w:tcMar>
              <w:top w:w="120" w:type="dxa"/>
              <w:left w:w="150" w:type="dxa"/>
              <w:bottom w:w="120" w:type="dxa"/>
              <w:right w:w="150" w:type="dxa"/>
            </w:tcMar>
          </w:tcPr>
          <w:p w14:paraId="4B2B4A5B">
            <w:r>
              <w:rPr>
                <w:rFonts w:ascii="Calibri" w:hAnsi="Calibri"/>
                <w:b/>
                <w:color w:val="FFFFFF"/>
                <w:sz w:val="20"/>
              </w:rPr>
              <w:t>Completed Lab Title</w:t>
            </w:r>
          </w:p>
        </w:tc>
        <w:tc>
          <w:tcPr>
            <w:tcW w:w="2880" w:type="dxa"/>
            <w:shd w:val="clear" w:color="auto" w:fill="003366"/>
            <w:tcMar>
              <w:top w:w="120" w:type="dxa"/>
              <w:left w:w="150" w:type="dxa"/>
              <w:bottom w:w="120" w:type="dxa"/>
              <w:right w:w="150" w:type="dxa"/>
            </w:tcMar>
          </w:tcPr>
          <w:p w14:paraId="3AFFD24B">
            <w:r>
              <w:rPr>
                <w:rFonts w:ascii="Calibri" w:hAnsi="Calibri"/>
                <w:b/>
                <w:color w:val="FFFFFF"/>
                <w:sz w:val="20"/>
              </w:rPr>
              <w:t>Reference Link</w:t>
            </w:r>
          </w:p>
        </w:tc>
      </w:tr>
      <w:tr w14:paraId="15D61ECB">
        <w:tblPrEx>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687ED71B">
            <w:r>
              <w:rPr>
                <w:rFonts w:ascii="Calibri" w:hAnsi="Calibri"/>
                <w:b/>
                <w:color w:val="333333"/>
                <w:sz w:val="19"/>
              </w:rPr>
              <w:t>Authentication</w:t>
            </w:r>
          </w:p>
        </w:tc>
        <w:tc>
          <w:tcPr>
            <w:tcW w:w="3888" w:type="dxa"/>
            <w:shd w:val="clear" w:color="auto" w:fill="FFFFFF"/>
            <w:tcMar>
              <w:top w:w="100" w:type="dxa"/>
              <w:left w:w="150" w:type="dxa"/>
              <w:bottom w:w="100" w:type="dxa"/>
              <w:right w:w="150" w:type="dxa"/>
            </w:tcMar>
          </w:tcPr>
          <w:p w14:paraId="2B0EEA66">
            <w:r>
              <w:rPr>
                <w:rFonts w:ascii="Calibri" w:hAnsi="Calibri"/>
                <w:color w:val="333333"/>
                <w:sz w:val="19"/>
              </w:rPr>
              <w:t>Username enumeration via different responses</w:t>
            </w:r>
          </w:p>
        </w:tc>
        <w:tc>
          <w:tcPr>
            <w:tcW w:w="2880" w:type="dxa"/>
            <w:shd w:val="clear" w:color="auto" w:fill="FFFFFF"/>
            <w:tcMar>
              <w:top w:w="100" w:type="dxa"/>
              <w:left w:w="150" w:type="dxa"/>
              <w:bottom w:w="100" w:type="dxa"/>
              <w:right w:w="150" w:type="dxa"/>
            </w:tcMar>
          </w:tcPr>
          <w:p w14:paraId="23EE2001">
            <w:r>
              <w:rPr>
                <w:rFonts w:ascii="Calibri" w:hAnsi="Calibri"/>
                <w:color w:val="0066CC"/>
                <w:sz w:val="19"/>
                <w:u w:val="single"/>
              </w:rPr>
              <w:t>https://portswigger.net/web-security/authentication</w:t>
            </w:r>
          </w:p>
        </w:tc>
      </w:tr>
      <w:tr w14:paraId="4C1187B9">
        <w:tblPrEx>
          <w:tblCellMar>
            <w:top w:w="0" w:type="dxa"/>
            <w:left w:w="108" w:type="dxa"/>
            <w:bottom w:w="0" w:type="dxa"/>
            <w:right w:w="108" w:type="dxa"/>
          </w:tblCellMar>
        </w:tblPrEx>
        <w:trPr>
          <w:jc w:val="center"/>
        </w:trPr>
        <w:tc>
          <w:tcPr>
            <w:tcW w:w="2592" w:type="dxa"/>
            <w:shd w:val="clear" w:color="auto" w:fill="F0F4F8"/>
            <w:tcMar>
              <w:top w:w="100" w:type="dxa"/>
              <w:left w:w="150" w:type="dxa"/>
              <w:bottom w:w="100" w:type="dxa"/>
              <w:right w:w="150" w:type="dxa"/>
            </w:tcMar>
          </w:tcPr>
          <w:p w14:paraId="30233D2A">
            <w:r>
              <w:rPr>
                <w:rFonts w:ascii="Calibri" w:hAnsi="Calibri"/>
                <w:b/>
                <w:color w:val="333333"/>
                <w:sz w:val="19"/>
              </w:rPr>
              <w:t>Authentication (2FA)</w:t>
            </w:r>
          </w:p>
        </w:tc>
        <w:tc>
          <w:tcPr>
            <w:tcW w:w="3888" w:type="dxa"/>
            <w:shd w:val="clear" w:color="auto" w:fill="F0F4F8"/>
            <w:tcMar>
              <w:top w:w="100" w:type="dxa"/>
              <w:left w:w="150" w:type="dxa"/>
              <w:bottom w:w="100" w:type="dxa"/>
              <w:right w:w="150" w:type="dxa"/>
            </w:tcMar>
          </w:tcPr>
          <w:p w14:paraId="4BB1A509">
            <w:r>
              <w:rPr>
                <w:rFonts w:ascii="Calibri" w:hAnsi="Calibri"/>
                <w:color w:val="333333"/>
                <w:sz w:val="19"/>
              </w:rPr>
              <w:t>2FA simple bypass</w:t>
            </w:r>
          </w:p>
        </w:tc>
        <w:tc>
          <w:tcPr>
            <w:tcW w:w="2880" w:type="dxa"/>
            <w:shd w:val="clear" w:color="auto" w:fill="F0F4F8"/>
            <w:tcMar>
              <w:top w:w="100" w:type="dxa"/>
              <w:left w:w="150" w:type="dxa"/>
              <w:bottom w:w="100" w:type="dxa"/>
              <w:right w:w="150" w:type="dxa"/>
            </w:tcMar>
          </w:tcPr>
          <w:p w14:paraId="266C365C">
            <w:r>
              <w:rPr>
                <w:rFonts w:ascii="Calibri" w:hAnsi="Calibri"/>
                <w:color w:val="0066CC"/>
                <w:sz w:val="19"/>
                <w:u w:val="single"/>
              </w:rPr>
              <w:t>https://portswigger.net/web-security/authentication</w:t>
            </w:r>
          </w:p>
        </w:tc>
      </w:tr>
      <w:tr w14:paraId="6D747F69">
        <w:tblPrEx>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5C796412">
            <w:r>
              <w:rPr>
                <w:rFonts w:ascii="Calibri" w:hAnsi="Calibri"/>
                <w:b/>
                <w:color w:val="333333"/>
                <w:sz w:val="19"/>
              </w:rPr>
              <w:t>Authentication Logic</w:t>
            </w:r>
          </w:p>
        </w:tc>
        <w:tc>
          <w:tcPr>
            <w:tcW w:w="3888" w:type="dxa"/>
            <w:shd w:val="clear" w:color="auto" w:fill="FFFFFF"/>
            <w:tcMar>
              <w:top w:w="100" w:type="dxa"/>
              <w:left w:w="150" w:type="dxa"/>
              <w:bottom w:w="100" w:type="dxa"/>
              <w:right w:w="150" w:type="dxa"/>
            </w:tcMar>
          </w:tcPr>
          <w:p w14:paraId="3DB22AD9">
            <w:r>
              <w:rPr>
                <w:rFonts w:ascii="Calibri" w:hAnsi="Calibri"/>
                <w:color w:val="333333"/>
                <w:sz w:val="19"/>
              </w:rPr>
              <w:t>Password reset broken logic</w:t>
            </w:r>
          </w:p>
        </w:tc>
        <w:tc>
          <w:tcPr>
            <w:tcW w:w="2880" w:type="dxa"/>
            <w:shd w:val="clear" w:color="auto" w:fill="FFFFFF"/>
            <w:tcMar>
              <w:top w:w="100" w:type="dxa"/>
              <w:left w:w="150" w:type="dxa"/>
              <w:bottom w:w="100" w:type="dxa"/>
              <w:right w:w="150" w:type="dxa"/>
            </w:tcMar>
          </w:tcPr>
          <w:p w14:paraId="478C72A0">
            <w:r>
              <w:rPr>
                <w:rFonts w:ascii="Calibri" w:hAnsi="Calibri"/>
                <w:color w:val="0066CC"/>
                <w:sz w:val="19"/>
                <w:u w:val="single"/>
              </w:rPr>
              <w:t>https://portswigger.net/web-security/authentication</w:t>
            </w:r>
          </w:p>
        </w:tc>
      </w:tr>
      <w:tr w14:paraId="125DBE3E">
        <w:tblPrEx>
          <w:tblCellMar>
            <w:top w:w="0" w:type="dxa"/>
            <w:left w:w="108" w:type="dxa"/>
            <w:bottom w:w="0" w:type="dxa"/>
            <w:right w:w="108" w:type="dxa"/>
          </w:tblCellMar>
        </w:tblPrEx>
        <w:trPr>
          <w:jc w:val="center"/>
        </w:trPr>
        <w:tc>
          <w:tcPr>
            <w:tcW w:w="2592" w:type="dxa"/>
            <w:shd w:val="clear" w:color="auto" w:fill="F0F4F8"/>
            <w:tcMar>
              <w:top w:w="100" w:type="dxa"/>
              <w:left w:w="150" w:type="dxa"/>
              <w:bottom w:w="100" w:type="dxa"/>
              <w:right w:w="150" w:type="dxa"/>
            </w:tcMar>
          </w:tcPr>
          <w:p w14:paraId="0AE327F9">
            <w:r>
              <w:rPr>
                <w:rFonts w:ascii="Calibri" w:hAnsi="Calibri"/>
                <w:b/>
                <w:color w:val="333333"/>
                <w:sz w:val="19"/>
              </w:rPr>
              <w:t>Access Control</w:t>
            </w:r>
          </w:p>
        </w:tc>
        <w:tc>
          <w:tcPr>
            <w:tcW w:w="3888" w:type="dxa"/>
            <w:shd w:val="clear" w:color="auto" w:fill="F0F4F8"/>
            <w:tcMar>
              <w:top w:w="100" w:type="dxa"/>
              <w:left w:w="150" w:type="dxa"/>
              <w:bottom w:w="100" w:type="dxa"/>
              <w:right w:w="150" w:type="dxa"/>
            </w:tcMar>
          </w:tcPr>
          <w:p w14:paraId="433526E3">
            <w:r>
              <w:rPr>
                <w:rFonts w:ascii="Calibri" w:hAnsi="Calibri"/>
                <w:color w:val="333333"/>
                <w:sz w:val="19"/>
              </w:rPr>
              <w:t>Unprotected admin functionality</w:t>
            </w:r>
          </w:p>
        </w:tc>
        <w:tc>
          <w:tcPr>
            <w:tcW w:w="2880" w:type="dxa"/>
            <w:shd w:val="clear" w:color="auto" w:fill="F0F4F8"/>
            <w:tcMar>
              <w:top w:w="100" w:type="dxa"/>
              <w:left w:w="150" w:type="dxa"/>
              <w:bottom w:w="100" w:type="dxa"/>
              <w:right w:w="150" w:type="dxa"/>
            </w:tcMar>
          </w:tcPr>
          <w:p w14:paraId="31F737DC">
            <w:r>
              <w:rPr>
                <w:rFonts w:ascii="Calibri" w:hAnsi="Calibri"/>
                <w:color w:val="0066CC"/>
                <w:sz w:val="19"/>
                <w:u w:val="single"/>
              </w:rPr>
              <w:t>https://portswigger.net/web-security/access-control</w:t>
            </w:r>
          </w:p>
        </w:tc>
      </w:tr>
      <w:tr w14:paraId="4DAE912A">
        <w:tblPrEx>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58038656">
            <w:r>
              <w:rPr>
                <w:rFonts w:ascii="Calibri" w:hAnsi="Calibri"/>
                <w:b/>
                <w:color w:val="333333"/>
                <w:sz w:val="19"/>
              </w:rPr>
              <w:t>Access Control</w:t>
            </w:r>
          </w:p>
        </w:tc>
        <w:tc>
          <w:tcPr>
            <w:tcW w:w="3888" w:type="dxa"/>
            <w:shd w:val="clear" w:color="auto" w:fill="FFFFFF"/>
            <w:tcMar>
              <w:top w:w="100" w:type="dxa"/>
              <w:left w:w="150" w:type="dxa"/>
              <w:bottom w:w="100" w:type="dxa"/>
              <w:right w:w="150" w:type="dxa"/>
            </w:tcMar>
          </w:tcPr>
          <w:p w14:paraId="2EE291FF">
            <w:r>
              <w:rPr>
                <w:rFonts w:ascii="Calibri" w:hAnsi="Calibri"/>
                <w:color w:val="333333"/>
                <w:sz w:val="19"/>
              </w:rPr>
              <w:t>Unprotected admin functionality with unpredictable URL</w:t>
            </w:r>
          </w:p>
        </w:tc>
        <w:tc>
          <w:tcPr>
            <w:tcW w:w="2880" w:type="dxa"/>
            <w:shd w:val="clear" w:color="auto" w:fill="FFFFFF"/>
            <w:tcMar>
              <w:top w:w="100" w:type="dxa"/>
              <w:left w:w="150" w:type="dxa"/>
              <w:bottom w:w="100" w:type="dxa"/>
              <w:right w:w="150" w:type="dxa"/>
            </w:tcMar>
          </w:tcPr>
          <w:p w14:paraId="67A8F8A9">
            <w:r>
              <w:rPr>
                <w:rFonts w:ascii="Calibri" w:hAnsi="Calibri"/>
                <w:color w:val="0066CC"/>
                <w:sz w:val="19"/>
                <w:u w:val="single"/>
              </w:rPr>
              <w:t>https://portswigger.net/web-security/access-control</w:t>
            </w:r>
          </w:p>
        </w:tc>
      </w:tr>
      <w:tr w14:paraId="06539B00">
        <w:tblPrEx>
          <w:tblCellMar>
            <w:top w:w="0" w:type="dxa"/>
            <w:left w:w="108" w:type="dxa"/>
            <w:bottom w:w="0" w:type="dxa"/>
            <w:right w:w="108" w:type="dxa"/>
          </w:tblCellMar>
        </w:tblPrEx>
        <w:trPr>
          <w:jc w:val="center"/>
        </w:trPr>
        <w:tc>
          <w:tcPr>
            <w:tcW w:w="2592" w:type="dxa"/>
            <w:shd w:val="clear" w:color="auto" w:fill="F0F4F8"/>
            <w:tcMar>
              <w:top w:w="100" w:type="dxa"/>
              <w:left w:w="150" w:type="dxa"/>
              <w:bottom w:w="100" w:type="dxa"/>
              <w:right w:w="150" w:type="dxa"/>
            </w:tcMar>
          </w:tcPr>
          <w:p w14:paraId="58D1F454">
            <w:r>
              <w:rPr>
                <w:rFonts w:ascii="Calibri" w:hAnsi="Calibri"/>
                <w:b/>
                <w:color w:val="333333"/>
                <w:sz w:val="19"/>
              </w:rPr>
              <w:t>SQL Injection</w:t>
            </w:r>
          </w:p>
        </w:tc>
        <w:tc>
          <w:tcPr>
            <w:tcW w:w="3888" w:type="dxa"/>
            <w:shd w:val="clear" w:color="auto" w:fill="F0F4F8"/>
            <w:tcMar>
              <w:top w:w="100" w:type="dxa"/>
              <w:left w:w="150" w:type="dxa"/>
              <w:bottom w:w="100" w:type="dxa"/>
              <w:right w:w="150" w:type="dxa"/>
            </w:tcMar>
          </w:tcPr>
          <w:p w14:paraId="2353D16B">
            <w:r>
              <w:rPr>
                <w:rFonts w:ascii="Calibri" w:hAnsi="Calibri"/>
                <w:color w:val="333333"/>
                <w:sz w:val="19"/>
              </w:rPr>
              <w:t>Lab: SQL injection login bypass</w:t>
            </w:r>
          </w:p>
        </w:tc>
        <w:tc>
          <w:tcPr>
            <w:tcW w:w="2880" w:type="dxa"/>
            <w:shd w:val="clear" w:color="auto" w:fill="F0F4F8"/>
            <w:tcMar>
              <w:top w:w="100" w:type="dxa"/>
              <w:left w:w="150" w:type="dxa"/>
              <w:bottom w:w="100" w:type="dxa"/>
              <w:right w:w="150" w:type="dxa"/>
            </w:tcMar>
          </w:tcPr>
          <w:p w14:paraId="3CAC59DA">
            <w:r>
              <w:rPr>
                <w:rFonts w:ascii="Calibri" w:hAnsi="Calibri"/>
                <w:color w:val="0066CC"/>
                <w:sz w:val="19"/>
                <w:u w:val="single"/>
              </w:rPr>
              <w:t>https://portswigger.net/web-security/sql-injection/lab-login-bypass</w:t>
            </w:r>
          </w:p>
        </w:tc>
      </w:tr>
      <w:tr w14:paraId="1FEE50AC">
        <w:tblPrEx>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19D0DEE5">
            <w:r>
              <w:rPr>
                <w:rFonts w:ascii="Calibri" w:hAnsi="Calibri"/>
                <w:b/>
                <w:color w:val="333333"/>
                <w:sz w:val="19"/>
              </w:rPr>
              <w:t>General Topics</w:t>
            </w:r>
          </w:p>
        </w:tc>
        <w:tc>
          <w:tcPr>
            <w:tcW w:w="3888" w:type="dxa"/>
            <w:shd w:val="clear" w:color="auto" w:fill="FFFFFF"/>
            <w:tcMar>
              <w:top w:w="100" w:type="dxa"/>
              <w:left w:w="150" w:type="dxa"/>
              <w:bottom w:w="100" w:type="dxa"/>
              <w:right w:w="150" w:type="dxa"/>
            </w:tcMar>
          </w:tcPr>
          <w:p w14:paraId="5ABB96BF">
            <w:r>
              <w:rPr>
                <w:rFonts w:ascii="Calibri" w:hAnsi="Calibri"/>
                <w:color w:val="333333"/>
                <w:sz w:val="19"/>
              </w:rPr>
              <w:t>Input Validation, Password Hashing, Data Encryption, and RBAC implementation concepts</w:t>
            </w:r>
          </w:p>
        </w:tc>
        <w:tc>
          <w:tcPr>
            <w:tcW w:w="2880" w:type="dxa"/>
            <w:shd w:val="clear" w:color="auto" w:fill="FFFFFF"/>
            <w:tcMar>
              <w:top w:w="100" w:type="dxa"/>
              <w:left w:w="150" w:type="dxa"/>
              <w:bottom w:w="100" w:type="dxa"/>
              <w:right w:w="150" w:type="dxa"/>
            </w:tcMar>
          </w:tcPr>
          <w:p w14:paraId="367029E5">
            <w:r>
              <w:rPr>
                <w:rFonts w:ascii="Calibri" w:hAnsi="Calibri"/>
                <w:color w:val="333333"/>
                <w:sz w:val="19"/>
              </w:rPr>
              <w:t>PortSwigger Academy</w:t>
            </w:r>
          </w:p>
        </w:tc>
      </w:tr>
      <w:tr w14:paraId="333A90B1">
        <w:tblPrEx>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2438F123">
            <w:pPr>
              <w:rPr>
                <w:rFonts w:ascii="Calibri" w:hAnsi="Calibri"/>
                <w:b/>
                <w:color w:val="333333"/>
                <w:sz w:val="19"/>
              </w:rPr>
            </w:pPr>
            <w:r>
              <w:rPr>
                <w:rFonts w:hint="default" w:eastAsia="SimSun" w:cs="SimSun" w:asciiTheme="majorAscii" w:hAnsiTheme="majorAscii"/>
                <w:sz w:val="19"/>
                <w:szCs w:val="19"/>
              </w:rPr>
              <w:t>Hack My App</w:t>
            </w:r>
          </w:p>
        </w:tc>
        <w:tc>
          <w:tcPr>
            <w:tcW w:w="3888" w:type="dxa"/>
            <w:shd w:val="clear" w:color="auto" w:fill="FFFFFF"/>
            <w:tcMar>
              <w:top w:w="100" w:type="dxa"/>
              <w:left w:w="150" w:type="dxa"/>
              <w:bottom w:w="100" w:type="dxa"/>
              <w:right w:w="150" w:type="dxa"/>
            </w:tcMar>
          </w:tcPr>
          <w:p w14:paraId="4B4FEE43">
            <w:pPr>
              <w:rPr>
                <w:rFonts w:ascii="Calibri" w:hAnsi="Calibri"/>
                <w:color w:val="333333"/>
                <w:sz w:val="19"/>
              </w:rPr>
            </w:pPr>
            <w:r>
              <w:rPr>
                <w:rFonts w:hint="default" w:eastAsia="SimSun" w:cs="SimSun" w:asciiTheme="majorAscii" w:hAnsiTheme="majorAscii"/>
                <w:sz w:val="19"/>
                <w:szCs w:val="19"/>
              </w:rPr>
              <w:t>Learn Flutter Security by Breaking It</w:t>
            </w:r>
          </w:p>
        </w:tc>
        <w:tc>
          <w:tcPr>
            <w:tcW w:w="2880" w:type="dxa"/>
            <w:shd w:val="clear" w:color="auto" w:fill="FFFFFF"/>
            <w:tcMar>
              <w:top w:w="100" w:type="dxa"/>
              <w:left w:w="150" w:type="dxa"/>
              <w:bottom w:w="100" w:type="dxa"/>
              <w:right w:w="150" w:type="dxa"/>
            </w:tcMar>
          </w:tcPr>
          <w:p w14:paraId="1CA55BA9">
            <w:pPr>
              <w:rPr>
                <w:rFonts w:ascii="Calibri" w:hAnsi="Calibri"/>
                <w:color w:val="333333"/>
                <w:sz w:val="19"/>
              </w:rPr>
            </w:pPr>
            <w:r>
              <w:rPr>
                <w:rFonts w:hint="default" w:ascii="Calibri" w:hAnsi="Calibri"/>
                <w:color w:val="333333"/>
                <w:sz w:val="19"/>
              </w:rPr>
              <w:t>https://youtu.be/vBzOtyq4ltA?si=pvMoxlA5T55r_EnT</w:t>
            </w:r>
          </w:p>
        </w:tc>
      </w:tr>
      <w:tr w14:paraId="44F0D6B0">
        <w:tblPrEx>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408079C1">
            <w:pPr>
              <w:rPr>
                <w:rFonts w:ascii="Calibri" w:hAnsi="Calibri"/>
                <w:b/>
                <w:color w:val="333333"/>
                <w:sz w:val="19"/>
              </w:rPr>
            </w:pPr>
            <w:r>
              <w:rPr>
                <w:rFonts w:hint="default" w:eastAsia="SimSun" w:cs="SimSun" w:asciiTheme="majorAscii" w:hAnsiTheme="majorAscii"/>
                <w:sz w:val="19"/>
                <w:szCs w:val="19"/>
              </w:rPr>
              <w:t>Securing Flutter Apps</w:t>
            </w:r>
          </w:p>
        </w:tc>
        <w:tc>
          <w:tcPr>
            <w:tcW w:w="3888" w:type="dxa"/>
            <w:shd w:val="clear" w:color="auto" w:fill="FFFFFF"/>
            <w:tcMar>
              <w:top w:w="100" w:type="dxa"/>
              <w:left w:w="150" w:type="dxa"/>
              <w:bottom w:w="100" w:type="dxa"/>
              <w:right w:w="150" w:type="dxa"/>
            </w:tcMar>
          </w:tcPr>
          <w:p w14:paraId="61390015">
            <w:pPr>
              <w:rPr>
                <w:rFonts w:ascii="Calibri" w:hAnsi="Calibri"/>
                <w:color w:val="333333"/>
                <w:sz w:val="19"/>
              </w:rPr>
            </w:pPr>
            <w:r>
              <w:rPr>
                <w:rFonts w:hint="default" w:eastAsia="SimSun" w:cs="SimSun" w:asciiTheme="majorAscii" w:hAnsiTheme="majorAscii"/>
                <w:sz w:val="19"/>
                <w:szCs w:val="19"/>
              </w:rPr>
              <w:t>OWASP Top 10 for mobile &amp; RASP explained</w:t>
            </w:r>
          </w:p>
        </w:tc>
        <w:tc>
          <w:tcPr>
            <w:tcW w:w="2880" w:type="dxa"/>
            <w:shd w:val="clear" w:color="auto" w:fill="FFFFFF"/>
            <w:tcMar>
              <w:top w:w="100" w:type="dxa"/>
              <w:left w:w="150" w:type="dxa"/>
              <w:bottom w:w="100" w:type="dxa"/>
              <w:right w:w="150" w:type="dxa"/>
            </w:tcMar>
          </w:tcPr>
          <w:p w14:paraId="1406F284">
            <w:pPr>
              <w:rPr>
                <w:rFonts w:hint="default" w:ascii="Calibri" w:hAnsi="Calibri"/>
                <w:color w:val="333333"/>
                <w:sz w:val="19"/>
              </w:rPr>
            </w:pPr>
            <w:r>
              <w:rPr>
                <w:rFonts w:hint="default" w:ascii="Calibri" w:hAnsi="Calibri"/>
                <w:color w:val="333333"/>
                <w:sz w:val="19"/>
              </w:rPr>
              <w:t>https://youtu.be/DYwn4KciL1U?si=0NZKmJFkmPD7GvlX</w:t>
            </w:r>
          </w:p>
        </w:tc>
      </w:tr>
    </w:tbl>
    <w:p w14:paraId="3AAE118A">
      <w:pPr>
        <w:spacing w:before="320" w:after="120"/>
      </w:pPr>
      <w:r>
        <w:rPr>
          <w:rFonts w:ascii="Calibri" w:hAnsi="Calibri"/>
          <w:b/>
          <w:color w:val="003366"/>
          <w:sz w:val="28"/>
        </w:rPr>
        <w:t>4. Project Status &amp; Current Blockers</w:t>
      </w:r>
      <w:bookmarkStart w:id="0" w:name="_GoBack"/>
      <w:bookmarkEnd w:id="0"/>
    </w:p>
    <w:p w14:paraId="4125371D">
      <w:pPr>
        <w:spacing w:before="120" w:after="240" w:line="276" w:lineRule="auto"/>
      </w:pPr>
      <w:r>
        <w:rPr>
          <w:rFonts w:ascii="Calibri" w:hAnsi="Calibri"/>
          <w:b/>
          <w:color w:val="003366"/>
        </w:rPr>
        <w:t xml:space="preserve">Status: </w:t>
      </w:r>
      <w:r>
        <w:rPr>
          <w:rFonts w:ascii="Calibri" w:hAnsi="Calibri"/>
          <w:b/>
          <w:color w:val="B40000"/>
        </w:rPr>
        <w:t>Pending Delivery for Manual Penetration Testing</w:t>
      </w:r>
      <w:r>
        <w:rPr>
          <w:rFonts w:ascii="Calibri" w:hAnsi="Calibri"/>
          <w:b/>
          <w:color w:val="B40000"/>
        </w:rPr>
        <w:br w:type="textWrapping"/>
      </w:r>
      <w:r>
        <w:rPr>
          <w:rFonts w:ascii="Calibri" w:hAnsi="Calibri"/>
          <w:color w:val="333333"/>
        </w:rPr>
        <w:t>All security models, test cases, and preparation steps for performing manual penetration testing on the Flutter mobile application are fully complete. However, manual security testing cannot commence at this stage due to the following dependencies:</w:t>
      </w:r>
      <w:r>
        <w:rPr>
          <w:rFonts w:ascii="Calibri" w:hAnsi="Calibri"/>
          <w:color w:val="333333"/>
        </w:rPr>
        <w:br w:type="textWrapping"/>
      </w:r>
      <w:r>
        <w:rPr>
          <w:rFonts w:ascii="Calibri" w:hAnsi="Calibri"/>
          <w:color w:val="333333"/>
        </w:rPr>
        <w:br w:type="textWrapping"/>
      </w:r>
      <w:r>
        <w:rPr>
          <w:rFonts w:ascii="Calibri" w:hAnsi="Calibri"/>
          <w:color w:val="333333"/>
        </w:rPr>
        <w:t>• Backend Team Handover: The backend APIs, server deployment, and API documentation have not been delivered yet.</w:t>
      </w:r>
      <w:r>
        <w:rPr>
          <w:rFonts w:ascii="Calibri" w:hAnsi="Calibri"/>
          <w:color w:val="333333"/>
        </w:rPr>
        <w:br w:type="textWrapping"/>
      </w:r>
      <w:r>
        <w:rPr>
          <w:rFonts w:ascii="Calibri" w:hAnsi="Calibri"/>
          <w:color w:val="333333"/>
        </w:rPr>
        <w:t>• Flutter Frontend Team Handover: The application build / source project integrated with backend APIs has not been handed over yet.</w:t>
      </w:r>
    </w:p>
    <w:p w14:paraId="24EA81DE">
      <w:pPr>
        <w:spacing w:before="320" w:after="120"/>
      </w:pPr>
      <w:r>
        <w:rPr>
          <w:rFonts w:ascii="Calibri" w:hAnsi="Calibri"/>
          <w:b/>
          <w:color w:val="003366"/>
          <w:sz w:val="28"/>
        </w:rPr>
        <w:t>5. Next Steps</w:t>
      </w:r>
    </w:p>
    <w:p w14:paraId="1B430859">
      <w:pPr>
        <w:pStyle w:val="23"/>
        <w:spacing w:after="80" w:line="276" w:lineRule="auto"/>
      </w:pPr>
      <w:r>
        <w:rPr>
          <w:rFonts w:ascii="Calibri" w:hAnsi="Calibri"/>
          <w:color w:val="333333"/>
          <w:sz w:val="22"/>
        </w:rPr>
        <w:t>Awaiting handover of API endpoints and Flutter app build from development teams.</w:t>
      </w:r>
    </w:p>
    <w:p w14:paraId="17E1F92F">
      <w:pPr>
        <w:pStyle w:val="23"/>
        <w:spacing w:after="80" w:line="276" w:lineRule="auto"/>
      </w:pPr>
      <w:r>
        <w:rPr>
          <w:rFonts w:ascii="Calibri" w:hAnsi="Calibri"/>
          <w:color w:val="333333"/>
          <w:sz w:val="22"/>
        </w:rPr>
        <w:t>Execute manual penetration testing &amp; dynamic security assessments on Flutter app upon code delivery.</w:t>
      </w:r>
    </w:p>
    <w:p w14:paraId="5EA5B28E">
      <w:pPr>
        <w:pStyle w:val="23"/>
        <w:spacing w:after="80" w:line="276" w:lineRule="auto"/>
      </w:pPr>
      <w:r>
        <w:rPr>
          <w:rFonts w:ascii="Calibri" w:hAnsi="Calibri"/>
          <w:color w:val="333333"/>
          <w:sz w:val="22"/>
        </w:rPr>
        <w:t xml:space="preserve">Perform  security testing </w:t>
      </w:r>
      <w:r>
        <w:rPr>
          <w:rFonts w:hint="default" w:ascii="Calibri" w:hAnsi="Calibri"/>
          <w:color w:val="333333"/>
          <w:sz w:val="22"/>
          <w:lang w:val="en-US"/>
        </w:rPr>
        <w:t>(Manual Testing/</w:t>
      </w:r>
      <w:r>
        <w:rPr>
          <w:rFonts w:ascii="Calibri" w:hAnsi="Calibri"/>
          <w:color w:val="333333"/>
          <w:sz w:val="22"/>
        </w:rPr>
        <w:t>Burp Suite) once backend endpoints are live.</w:t>
      </w:r>
    </w:p>
    <w:p w14:paraId="67D248CF">
      <w:pPr>
        <w:pStyle w:val="23"/>
        <w:spacing w:after="80" w:line="276" w:lineRule="auto"/>
      </w:pPr>
      <w:r>
        <w:rPr>
          <w:rFonts w:ascii="Calibri" w:hAnsi="Calibri"/>
          <w:color w:val="333333"/>
          <w:sz w:val="22"/>
        </w:rPr>
        <w:t>Compile final Vulnerability Assessment &amp; Penetration Testing (VAPT) Report.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562234"/>
    <w:rsid w:val="7DED1A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402</Words>
  <Characters>3065</Characters>
  <Lines>0</Lines>
  <Paragraphs>0</Paragraphs>
  <TotalTime>7</TotalTime>
  <ScaleCrop>false</ScaleCrop>
  <LinksUpToDate>false</LinksUpToDate>
  <CharactersWithSpaces>3422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Mostafa Mohamed</cp:lastModifiedBy>
  <dcterms:modified xsi:type="dcterms:W3CDTF">2026-09-22T21:53:48Z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eyJoZGlkIjoiNGM5ODU5N2ZkZDc4NDljMjUzOGY4OWNhYjNkMTE0YWEiLCJ1c2VySWQiOiIxNDQzMTA5NjczMzk5MCJ9</vt:lpwstr>
  </property>
  <property fmtid="{D5CDD505-2E9C-101B-9397-08002B2CF9AE}" pid="3" name="KSOProductBuildVer">
    <vt:lpwstr>1033-12.1.0.28485</vt:lpwstr>
  </property>
  <property fmtid="{D5CDD505-2E9C-101B-9397-08002B2CF9AE}" pid="4" name="ICV">
    <vt:lpwstr>7A56C739EE864F59A1E35C8FC4C0C095_12</vt:lpwstr>
  </property>
</Properties>
</file>