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pPr>
      <w:bookmarkStart w:id="0" w:name="_eleyd93tz5ob" w:colFirst="0" w:colLast="0"/>
      <w:bookmarkEnd w:id="0"/>
      <w:r>
        <w:rPr>
          <w:rtl w:val="0"/>
        </w:rPr>
        <w:t>Daily Training Report - Day 3</w:t>
      </w:r>
    </w:p>
    <w:p w14:paraId="00000002">
      <w:r>
        <w:rPr>
          <w:b/>
          <w:bCs/>
          <w:rtl w:val="0"/>
        </w:rPr>
        <w:t>Trainee Name:</w:t>
      </w:r>
      <w:r>
        <w:rPr>
          <w:rtl w:val="0"/>
        </w:rPr>
        <w:t xml:space="preserve"> Mostafa Mohamed</w:t>
      </w:r>
      <w:r>
        <w:rPr>
          <w:rtl w:val="0"/>
        </w:rPr>
        <w:br w:type="textWrapping"/>
      </w:r>
      <w:r>
        <w:rPr>
          <w:b/>
          <w:bCs/>
          <w:rtl w:val="0"/>
        </w:rPr>
        <w:t>Date:</w:t>
      </w:r>
      <w:r>
        <w:rPr>
          <w:rtl w:val="0"/>
        </w:rPr>
        <w:t xml:space="preserve"> Day 3</w:t>
      </w:r>
    </w:p>
    <w:p w14:paraId="00000003">
      <w:pPr>
        <w:pStyle w:val="2"/>
      </w:pPr>
      <w:bookmarkStart w:id="1" w:name="_n0o8uxg2lrj6" w:colFirst="0" w:colLast="0"/>
      <w:bookmarkEnd w:id="1"/>
      <w:r>
        <w:rPr>
          <w:rtl w:val="0"/>
        </w:rPr>
        <w:t>1. Overview &amp; Major Contributions</w:t>
      </w:r>
    </w:p>
    <w:p w14:paraId="00000004">
      <w:r>
        <w:rPr>
          <w:rtl w:val="0"/>
        </w:rPr>
        <w:t>ERD &amp; SQL Reconstruction from Scratch</w:t>
      </w:r>
      <w:r>
        <w:rPr>
          <w:rtl w:val="0"/>
        </w:rPr>
        <w:br w:type="textWrapping"/>
      </w:r>
      <w:r>
        <w:rPr>
          <w:rtl w:val="0"/>
        </w:rPr>
        <w:t>Led the technical initiative to rebuild the database ERD and SQL schemas from scratch. This overhaul was prompted by supervisor requirements to limit core tables to approximately 10 main entities, ensuring tighter project scope control and architectural clarity.</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6">
      <w:r>
        <w:rPr>
          <w:b/>
          <w:bCs/>
          <w:rtl w:val="0"/>
        </w:rPr>
        <w:t>Security Engineering &amp; Controls Implementation</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8">
      <w:pPr>
        <w:numPr>
          <w:ilvl w:val="0"/>
          <w:numId w:val="1"/>
        </w:numPr>
        <w:ind w:left="720" w:hanging="360"/>
      </w:pPr>
      <w:r>
        <w:rPr>
          <w:b/>
          <w:bCs/>
          <w:rtl w:val="0"/>
        </w:rPr>
        <w:t>Table Optimization:</w:t>
      </w:r>
      <w:r>
        <w:rPr>
          <w:rtl w:val="0"/>
        </w:rPr>
        <w:t xml:space="preserve"> Successfully streamlined the database schema down to 12 total tables while embedding strict security controls directly into the data layer.</w:t>
      </w:r>
    </w:p>
    <w:p w14:paraId="00000009">
      <w:pPr>
        <w:numPr>
          <w:ilvl w:val="0"/>
          <w:numId w:val="1"/>
        </w:numPr>
        <w:ind w:left="720" w:hanging="360"/>
      </w:pPr>
      <w:r>
        <w:rPr>
          <w:b/>
          <w:bCs/>
          <w:rtl w:val="0"/>
        </w:rPr>
        <w:t>Row Level Security (RLS):</w:t>
      </w:r>
      <w:r>
        <w:rPr>
          <w:rtl w:val="0"/>
        </w:rPr>
        <w:t xml:space="preserve"> Implemented comprehensive RLS across all sensitive tables, supported by 23 explicit access policies to govern data interaction.</w:t>
      </w:r>
    </w:p>
    <w:p w14:paraId="0000000A">
      <w:pPr>
        <w:numPr>
          <w:ilvl w:val="0"/>
          <w:numId w:val="1"/>
        </w:numPr>
        <w:ind w:left="720" w:hanging="360"/>
      </w:pPr>
      <w:r>
        <w:rPr>
          <w:b/>
          <w:bCs/>
          <w:rtl w:val="0"/>
        </w:rPr>
        <w:t>Authentication &amp; Hashing Enforcements:</w:t>
      </w:r>
      <w:r>
        <w:rPr>
          <w:rtl w:val="0"/>
        </w:rPr>
        <w:t xml:space="preserve"> Modernized the user security model by removing legacy </w:t>
      </w:r>
      <w:r>
        <w:rPr>
          <w:rFonts w:ascii="Roboto Mono" w:hAnsi="Roboto Mono" w:eastAsia="Roboto Mono" w:cs="Roboto Mono"/>
          <w:color w:val="188038"/>
          <w:rtl w:val="0"/>
        </w:rPr>
        <w:t>password</w:t>
      </w:r>
      <w:r>
        <w:rPr>
          <w:rtl w:val="0"/>
        </w:rPr>
        <w:t xml:space="preserve"> fields. Restricted storage exclusively to </w:t>
      </w:r>
      <w:r>
        <w:rPr>
          <w:rFonts w:ascii="Roboto Mono" w:hAnsi="Roboto Mono" w:eastAsia="Roboto Mono" w:cs="Roboto Mono"/>
          <w:color w:val="188038"/>
          <w:rtl w:val="0"/>
        </w:rPr>
        <w:t>users.password_hash</w:t>
      </w:r>
      <w:r>
        <w:rPr>
          <w:rtl w:val="0"/>
        </w:rPr>
        <w:t xml:space="preserve"> and implemented database-level constraints to enforce Argon2 or bcrypt hash patterns.</w:t>
      </w:r>
    </w:p>
    <w:p w14:paraId="0000000B">
      <w:pPr>
        <w:numPr>
          <w:ilvl w:val="0"/>
          <w:numId w:val="1"/>
        </w:numPr>
        <w:ind w:left="720" w:hanging="360"/>
      </w:pPr>
      <w:r>
        <w:rPr>
          <w:b/>
          <w:bCs/>
          <w:rtl w:val="0"/>
        </w:rPr>
        <w:t>Immutability &amp; Auditability:</w:t>
      </w:r>
      <w:r>
        <w:rPr>
          <w:rtl w:val="0"/>
        </w:rPr>
        <w:t xml:space="preserve"> Configured the </w:t>
      </w:r>
      <w:r>
        <w:rPr>
          <w:rFonts w:ascii="Roboto Mono" w:hAnsi="Roboto Mono" w:eastAsia="Roboto Mono" w:cs="Roboto Mono"/>
          <w:color w:val="188038"/>
          <w:rtl w:val="0"/>
        </w:rPr>
        <w:t>asset_events</w:t>
      </w:r>
      <w:r>
        <w:rPr>
          <w:rtl w:val="0"/>
        </w:rPr>
        <w:t xml:space="preserve"> and </w:t>
      </w:r>
      <w:r>
        <w:rPr>
          <w:rFonts w:ascii="Roboto Mono" w:hAnsi="Roboto Mono" w:eastAsia="Roboto Mono" w:cs="Roboto Mono"/>
          <w:color w:val="188038"/>
          <w:rtl w:val="0"/>
        </w:rPr>
        <w:t>audit_log</w:t>
      </w:r>
      <w:r>
        <w:rPr>
          <w:rtl w:val="0"/>
        </w:rPr>
        <w:t xml:space="preserve"> tables as strict </w:t>
      </w:r>
      <w:r>
        <w:rPr>
          <w:b/>
          <w:bCs/>
          <w:rtl w:val="0"/>
        </w:rPr>
        <w:t>Append-Only</w:t>
      </w:r>
      <w:r>
        <w:rPr>
          <w:rtl w:val="0"/>
        </w:rPr>
        <w:t xml:space="preserve"> entities by explicitly revoking </w:t>
      </w:r>
      <w:r>
        <w:rPr>
          <w:rFonts w:ascii="Roboto Mono" w:hAnsi="Roboto Mono" w:eastAsia="Roboto Mono" w:cs="Roboto Mono"/>
          <w:color w:val="188038"/>
          <w:rtl w:val="0"/>
        </w:rPr>
        <w:t>UPDATE</w:t>
      </w:r>
      <w:r>
        <w:rPr>
          <w:rtl w:val="0"/>
        </w:rPr>
        <w:t xml:space="preserve"> and </w:t>
      </w:r>
      <w:r>
        <w:rPr>
          <w:rFonts w:ascii="Roboto Mono" w:hAnsi="Roboto Mono" w:eastAsia="Roboto Mono" w:cs="Roboto Mono"/>
          <w:color w:val="188038"/>
          <w:rtl w:val="0"/>
        </w:rPr>
        <w:t>DELETE</w:t>
      </w:r>
      <w:r>
        <w:rPr>
          <w:rtl w:val="0"/>
        </w:rPr>
        <w:t xml:space="preserve"> operations for all roles.</w:t>
      </w:r>
    </w:p>
    <w:p w14:paraId="0000000C">
      <w:pPr>
        <w:numPr>
          <w:ilvl w:val="0"/>
          <w:numId w:val="1"/>
        </w:numPr>
        <w:ind w:left="720" w:hanging="360"/>
      </w:pPr>
      <w:r>
        <w:rPr>
          <w:b/>
          <w:bCs/>
          <w:rtl w:val="0"/>
        </w:rPr>
        <w:t>Organizational Scoping:</w:t>
      </w:r>
      <w:r>
        <w:rPr>
          <w:rtl w:val="0"/>
        </w:rPr>
        <w:t xml:space="preserve"> Refactored the </w:t>
      </w:r>
      <w:r>
        <w:rPr>
          <w:rFonts w:ascii="Roboto Mono" w:hAnsi="Roboto Mono" w:eastAsia="Roboto Mono" w:cs="Roboto Mono"/>
          <w:color w:val="188038"/>
          <w:rtl w:val="0"/>
        </w:rPr>
        <w:t>has_role</w:t>
      </w:r>
      <w:r>
        <w:rPr>
          <w:rtl w:val="0"/>
        </w:rPr>
        <w:t xml:space="preserve"> function to enforce rigorous scope isolation, effectively preventing cross-entity or cross-college privilege escalation.</w:t>
      </w:r>
    </w:p>
    <w:p w14:paraId="0000000D">
      <w:pPr>
        <w:numPr>
          <w:ilvl w:val="0"/>
          <w:numId w:val="1"/>
        </w:numPr>
        <w:ind w:left="720" w:hanging="360"/>
      </w:pPr>
      <w:r>
        <w:rPr>
          <w:b/>
          <w:bCs/>
          <w:rtl w:val="0"/>
        </w:rPr>
        <w:t>Auditable Asset Transfers:</w:t>
      </w:r>
      <w:r>
        <w:rPr>
          <w:rtl w:val="0"/>
        </w:rPr>
        <w:t xml:space="preserve"> Updated the </w:t>
      </w:r>
      <w:r>
        <w:rPr>
          <w:rFonts w:ascii="Roboto Mono" w:hAnsi="Roboto Mono" w:eastAsia="Roboto Mono" w:cs="Roboto Mono"/>
          <w:color w:val="188038"/>
          <w:rtl w:val="0"/>
        </w:rPr>
        <w:t>asset_events</w:t>
      </w:r>
      <w:r>
        <w:rPr>
          <w:rtl w:val="0"/>
        </w:rPr>
        <w:t xml:space="preserve"> policy to ensure multi-tenant visibility for both sending and receiving domains during asset movements, maintaining a transparent audit trail.</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F">
      <w:r>
        <w:rPr>
          <w:b/>
          <w:bCs/>
          <w:rtl w:val="0"/>
        </w:rPr>
        <w:t>SQL Source Deliverable</w:t>
      </w:r>
      <w:r>
        <w:rPr>
          <w:rtl w:val="0"/>
        </w:rPr>
        <w:br w:type="textWrapping"/>
      </w:r>
      <w:r>
        <w:rPr>
          <w:rtl w:val="0"/>
        </w:rPr>
        <w:t xml:space="preserve">Finalized and validated the updated schema, now preserved in the </w:t>
      </w:r>
      <w:r>
        <w:rPr>
          <w:rFonts w:ascii="Roboto Mono" w:hAnsi="Roboto Mono" w:eastAsia="Roboto Mono" w:cs="Roboto Mono"/>
          <w:color w:val="188038"/>
          <w:rtl w:val="0"/>
        </w:rPr>
        <w:t>asset_inventory_postgresql.sql</w:t>
      </w:r>
      <w:r>
        <w:rPr>
          <w:rtl w:val="0"/>
        </w:rPr>
        <w:t xml:space="preserve"> deliverable.</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1">
      <w:r>
        <w:rPr>
          <w:b/>
          <w:bCs/>
          <w:rtl w:val="0"/>
        </w:rPr>
        <w:t>Backend Guidelines &amp; Integration Handover</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3">
      <w:pPr>
        <w:numPr>
          <w:ilvl w:val="0"/>
          <w:numId w:val="2"/>
        </w:numPr>
        <w:ind w:left="720" w:hanging="360"/>
      </w:pPr>
      <w:r>
        <w:rPr>
          <w:rtl w:val="0"/>
        </w:rPr>
        <w:t xml:space="preserve">Documented critical application-layer requirements, including Argon2id hashing pre-persistence, account lockout mechanisms, MFA integration, secure JWT/session handling, and the protection of </w:t>
      </w:r>
      <w:r>
        <w:rPr>
          <w:rFonts w:ascii="Roboto Mono" w:hAnsi="Roboto Mono" w:eastAsia="Roboto Mono" w:cs="Roboto Mono"/>
          <w:color w:val="188038"/>
          <w:rtl w:val="0"/>
        </w:rPr>
        <w:t>app.current_user_id</w:t>
      </w:r>
      <w:r>
        <w:rPr>
          <w:rtl w:val="0"/>
        </w:rPr>
        <w:t xml:space="preserve"> context.</w:t>
      </w:r>
    </w:p>
    <w:p w14:paraId="00000014">
      <w:pPr>
        <w:numPr>
          <w:ilvl w:val="0"/>
          <w:numId w:val="2"/>
        </w:numPr>
        <w:ind w:left="720" w:hanging="360"/>
      </w:pPr>
      <w:r>
        <w:rPr>
          <w:rtl w:val="0"/>
        </w:rPr>
        <w:t xml:space="preserve">Authored </w:t>
      </w:r>
      <w:r>
        <w:rPr>
          <w:b/>
          <w:bCs/>
          <w:rtl w:val="0"/>
        </w:rPr>
        <w:t>5 Comprehensive Security Specifications</w:t>
      </w:r>
      <w:r>
        <w:rPr>
          <w:rtl w:val="0"/>
        </w:rPr>
        <w:t>:</w:t>
      </w:r>
    </w:p>
    <w:p w14:paraId="00000015">
      <w:pPr>
        <w:numPr>
          <w:ilvl w:val="1"/>
          <w:numId w:val="2"/>
        </w:numPr>
        <w:ind w:left="1440" w:hanging="360"/>
      </w:pPr>
      <w:r>
        <w:rPr>
          <w:rFonts w:ascii="Roboto Mono" w:hAnsi="Roboto Mono" w:eastAsia="Roboto Mono" w:cs="Roboto Mono"/>
          <w:color w:val="188038"/>
          <w:rtl w:val="0"/>
        </w:rPr>
        <w:t>Authentication_and_Authorization_Model</w:t>
      </w:r>
    </w:p>
    <w:p w14:paraId="00000016">
      <w:pPr>
        <w:numPr>
          <w:ilvl w:val="1"/>
          <w:numId w:val="2"/>
        </w:numPr>
        <w:ind w:left="1440" w:hanging="360"/>
      </w:pPr>
      <w:r>
        <w:rPr>
          <w:rFonts w:ascii="Roboto Mono" w:hAnsi="Roboto Mono" w:eastAsia="Roboto Mono" w:cs="Roboto Mono"/>
          <w:color w:val="188038"/>
          <w:rtl w:val="0"/>
        </w:rPr>
        <w:t>Organizational_Scope</w:t>
      </w:r>
    </w:p>
    <w:p w14:paraId="00000017">
      <w:pPr>
        <w:numPr>
          <w:ilvl w:val="1"/>
          <w:numId w:val="2"/>
        </w:numPr>
        <w:ind w:left="1440" w:hanging="360"/>
      </w:pPr>
      <w:r>
        <w:rPr>
          <w:rFonts w:ascii="Roboto Mono" w:hAnsi="Roboto Mono" w:eastAsia="Roboto Mono" w:cs="Roboto Mono"/>
          <w:color w:val="188038"/>
          <w:rtl w:val="0"/>
        </w:rPr>
        <w:t>RBAC_Model</w:t>
      </w:r>
    </w:p>
    <w:p w14:paraId="00000018">
      <w:pPr>
        <w:numPr>
          <w:ilvl w:val="1"/>
          <w:numId w:val="2"/>
        </w:numPr>
        <w:ind w:left="1440" w:hanging="360"/>
      </w:pPr>
      <w:r>
        <w:rPr>
          <w:rFonts w:ascii="Roboto Mono" w:hAnsi="Roboto Mono" w:eastAsia="Roboto Mono" w:cs="Roboto Mono"/>
          <w:color w:val="188038"/>
          <w:rtl w:val="0"/>
        </w:rPr>
        <w:t>Security_Requirements</w:t>
      </w:r>
    </w:p>
    <w:p w14:paraId="00000019">
      <w:pPr>
        <w:numPr>
          <w:ilvl w:val="1"/>
          <w:numId w:val="2"/>
        </w:numPr>
        <w:ind w:left="1440" w:hanging="360"/>
      </w:pPr>
      <w:r>
        <w:rPr>
          <w:rFonts w:ascii="Roboto Mono" w:hAnsi="Roboto Mono" w:eastAsia="Roboto Mono" w:cs="Roboto Mono"/>
          <w:color w:val="188038"/>
          <w:rtl w:val="0"/>
        </w:rPr>
        <w:t>Security_TestCase</w:t>
      </w:r>
    </w:p>
    <w:p w14:paraId="0000001A">
      <w:pPr>
        <w:numPr>
          <w:ilvl w:val="0"/>
          <w:numId w:val="2"/>
        </w:numPr>
        <w:ind w:left="720" w:hanging="360"/>
      </w:pPr>
      <w:r>
        <w:rPr>
          <w:rtl w:val="0"/>
        </w:rPr>
        <w:t>Delivered full documentation to backend engineers to align the API implementation with established security protocols.</w:t>
      </w:r>
    </w:p>
    <w:p w14:paraId="0000001B">
      <w:pPr>
        <w:pStyle w:val="2"/>
      </w:pPr>
      <w:bookmarkStart w:id="2" w:name="_crcba7liles3" w:colFirst="0" w:colLast="0"/>
      <w:bookmarkEnd w:id="2"/>
      <w:r>
        <w:rPr>
          <w:rtl w:val="0"/>
        </w:rPr>
        <w:t>2. Key Learnings &amp; Applied Technical Skills</w:t>
      </w:r>
    </w:p>
    <w:p w14:paraId="0000001C">
      <w:pPr>
        <w:numPr>
          <w:ilvl w:val="0"/>
          <w:numId w:val="2"/>
        </w:numPr>
        <w:ind w:left="720" w:hanging="360"/>
      </w:pPr>
      <w:r>
        <w:rPr>
          <w:b/>
          <w:bCs/>
          <w:rtl w:val="0"/>
        </w:rPr>
        <w:t>Advanced PostgreSQL Security:</w:t>
      </w:r>
      <w:r>
        <w:rPr>
          <w:rtl w:val="0"/>
        </w:rPr>
        <w:t xml:space="preserve"> Mastery of Row-Level Security (RLS) policies and the implementation of Append-Only auditing structures.</w:t>
      </w:r>
    </w:p>
    <w:p w14:paraId="0000001D">
      <w:pPr>
        <w:numPr>
          <w:ilvl w:val="0"/>
          <w:numId w:val="2"/>
        </w:numPr>
        <w:ind w:left="720" w:hanging="360"/>
      </w:pPr>
      <w:r>
        <w:rPr>
          <w:b/>
          <w:bCs/>
          <w:rtl w:val="0"/>
        </w:rPr>
        <w:t>Scope-isolated RBAC:</w:t>
      </w:r>
      <w:r>
        <w:rPr>
          <w:rtl w:val="0"/>
        </w:rPr>
        <w:t xml:space="preserve"> Design and implementation of Role-Based Access Control that respects organizational boundaries.</w:t>
      </w:r>
    </w:p>
    <w:p w14:paraId="0000001E">
      <w:pPr>
        <w:numPr>
          <w:ilvl w:val="0"/>
          <w:numId w:val="2"/>
        </w:numPr>
        <w:ind w:left="720" w:hanging="360"/>
      </w:pPr>
      <w:r>
        <w:rPr>
          <w:b/>
          <w:bCs/>
          <w:rtl w:val="0"/>
        </w:rPr>
        <w:t>Cryptographic Constraints:</w:t>
      </w:r>
      <w:r>
        <w:rPr>
          <w:rtl w:val="0"/>
        </w:rPr>
        <w:t xml:space="preserve"> Utilizing database-level constraints to enforce industry-standard hashing requirements.</w:t>
      </w:r>
    </w:p>
    <w:p w14:paraId="0000001F">
      <w:pPr>
        <w:numPr>
          <w:ilvl w:val="0"/>
          <w:numId w:val="2"/>
        </w:numPr>
        <w:ind w:left="720" w:hanging="360"/>
      </w:pPr>
      <w:r>
        <w:rPr>
          <w:b/>
          <w:bCs/>
          <w:rtl w:val="0"/>
        </w:rPr>
        <w:t>Strategic Systems Design:</w:t>
      </w:r>
      <w:r>
        <w:rPr>
          <w:rtl w:val="0"/>
        </w:rPr>
        <w:t xml:space="preserve"> Bridging the gap between database architecture and backend implementation through standardized security handovers.</w:t>
      </w:r>
    </w:p>
    <w:p w14:paraId="00000020">
      <w:pPr>
        <w:pStyle w:val="2"/>
      </w:pPr>
      <w:bookmarkStart w:id="3" w:name="_fe2vli58u7gd" w:colFirst="0" w:colLast="0"/>
      <w:bookmarkEnd w:id="3"/>
      <w:r>
        <w:rPr>
          <w:rtl w:val="0"/>
        </w:rPr>
        <w:t>3. Project Files &amp; Resources</w:t>
      </w:r>
    </w:p>
    <w:p w14:paraId="00000021">
      <w:pPr>
        <w:numPr>
          <w:ilvl w:val="0"/>
          <w:numId w:val="2"/>
        </w:numPr>
        <w:ind w:left="720" w:hanging="360"/>
      </w:pPr>
      <w:r>
        <w:rPr>
          <w:b/>
          <w:bCs/>
          <w:rtl w:val="0"/>
        </w:rPr>
        <w:t>Database Script:</w:t>
      </w:r>
      <w:r>
        <w:rPr>
          <w:rtl w:val="0"/>
        </w:rPr>
        <w:t xml:space="preserve"> </w:t>
      </w:r>
      <w:r>
        <w:rPr>
          <w:color w:val="000000"/>
          <w:rtl w:val="0"/>
        </w:rPr>
        <w:t>File</w:t>
      </w:r>
      <w:r>
        <w:rPr>
          <w:rtl w:val="0"/>
        </w:rPr>
        <w:t xml:space="preserve"> (asset_inventory_postgresql.sql)</w:t>
      </w:r>
    </w:p>
    <w:p w14:paraId="00000022">
      <w:pPr>
        <w:numPr>
          <w:ilvl w:val="0"/>
          <w:numId w:val="2"/>
        </w:numPr>
        <w:ind w:left="720" w:hanging="360"/>
      </w:pPr>
      <w:r>
        <w:rPr>
          <w:b/>
          <w:bCs/>
          <w:rtl w:val="0"/>
        </w:rPr>
        <w:t>Security Specifications Handed to Backend:</w:t>
      </w:r>
    </w:p>
    <w:p w14:paraId="00000023">
      <w:pPr>
        <w:numPr>
          <w:ilvl w:val="1"/>
          <w:numId w:val="3"/>
        </w:numPr>
        <w:ind w:left="1440" w:hanging="360"/>
      </w:pPr>
      <w:r>
        <w:rPr>
          <w:rtl w:val="0"/>
        </w:rPr>
        <w:t>Authentication and Authorization Model</w:t>
      </w:r>
    </w:p>
    <w:p w14:paraId="00000024">
      <w:pPr>
        <w:numPr>
          <w:ilvl w:val="1"/>
          <w:numId w:val="3"/>
        </w:numPr>
        <w:ind w:left="1440" w:hanging="360"/>
      </w:pPr>
      <w:r>
        <w:rPr>
          <w:rtl w:val="0"/>
        </w:rPr>
        <w:t>Organizational Scope Specification</w:t>
      </w:r>
    </w:p>
    <w:p w14:paraId="00000025">
      <w:pPr>
        <w:numPr>
          <w:ilvl w:val="1"/>
          <w:numId w:val="3"/>
        </w:numPr>
        <w:ind w:left="1440" w:hanging="360"/>
      </w:pPr>
      <w:r>
        <w:rPr>
          <w:rtl w:val="0"/>
        </w:rPr>
        <w:t>Role-Based Access Control (RBAC) Model</w:t>
      </w:r>
    </w:p>
    <w:p w14:paraId="00000026">
      <w:pPr>
        <w:numPr>
          <w:ilvl w:val="1"/>
          <w:numId w:val="3"/>
        </w:numPr>
        <w:ind w:left="1440" w:hanging="360"/>
      </w:pPr>
      <w:r>
        <w:rPr>
          <w:rtl w:val="0"/>
        </w:rPr>
        <w:t>Security Requirements Specification</w:t>
      </w:r>
    </w:p>
    <w:p w14:paraId="00000027">
      <w:pPr>
        <w:numPr>
          <w:ilvl w:val="1"/>
          <w:numId w:val="3"/>
        </w:numPr>
        <w:ind w:left="1440" w:hanging="360"/>
      </w:pPr>
      <w:r>
        <w:rPr>
          <w:rtl w:val="0"/>
        </w:rPr>
        <w:t>Security Test Cases Document</w:t>
      </w:r>
    </w:p>
    <w:p w14:paraId="00000029">
      <w:bookmarkStart w:id="4" w:name="_GoBack"/>
      <w:bookmarkEnd w:id="4"/>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75C6AC1-9284-4C3D-95F4-9079B16BC79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FABE87C-4DC1-40D5-B09A-500E17AD69FA}"/>
  </w:font>
  <w:font w:name="Wingdings">
    <w:panose1 w:val="05000000000000000000"/>
    <w:charset w:val="02"/>
    <w:family w:val="auto"/>
    <w:pitch w:val="default"/>
    <w:sig w:usb0="00000000" w:usb1="00000000" w:usb2="00000000" w:usb3="00000000" w:csb0="80000000" w:csb1="00000000"/>
    <w:embedRegular r:id="rId3" w:fontKey="{28D4529E-72C1-42C7-8B57-22B34F0EF2A5}"/>
  </w:font>
  <w:font w:name="Calibri">
    <w:panose1 w:val="020F0502020204030204"/>
    <w:charset w:val="00"/>
    <w:family w:val="swiss"/>
    <w:pitch w:val="default"/>
    <w:sig w:usb0="E4002EFF" w:usb1="C000247B" w:usb2="00000009" w:usb3="00000000" w:csb0="200001FF" w:csb1="00000000"/>
    <w:embedRegular r:id="rId4" w:fontKey="{6DFD049C-AFAE-447F-9C01-60E9BA90ABC5}"/>
  </w:font>
  <w:font w:name="等线">
    <w:altName w:val="Microsoft YaHei"/>
    <w:panose1 w:val="00000000000000000000"/>
    <w:charset w:val="86"/>
    <w:family w:val="auto"/>
    <w:pitch w:val="default"/>
    <w:sig w:usb0="00000000" w:usb1="00000000" w:usb2="00000000" w:usb3="00000000" w:csb0="00000000" w:csb1="00000000"/>
  </w:font>
  <w:font w:name="Inter">
    <w:altName w:val="SimSun"/>
    <w:panose1 w:val="00000000000000000000"/>
    <w:charset w:val="86"/>
    <w:family w:val="auto"/>
    <w:pitch w:val="default"/>
    <w:sig w:usb0="00000000" w:usb1="00000000" w:usb2="00000000" w:usb3="00000000" w:csb0="00000000" w:csb1="00000000"/>
    <w:embedRegular r:id="rId5" w:fontKey="{65A1CC1A-7A3E-4B6A-94AB-8726F69BAEB4}"/>
  </w:font>
  <w:font w:name="Montserrat">
    <w:altName w:val="Segoe Print"/>
    <w:panose1 w:val="00000000000000000000"/>
    <w:charset w:val="00"/>
    <w:family w:val="auto"/>
    <w:pitch w:val="default"/>
    <w:sig w:usb0="00000000" w:usb1="00000000" w:usb2="00000000" w:usb3="00000000" w:csb0="00000000" w:csb1="00000000"/>
    <w:embedRegular r:id="rId6" w:fontKey="{E843122E-39F0-4352-873B-D6B174526B2A}"/>
  </w:font>
  <w:font w:name="Georgia">
    <w:panose1 w:val="02040502050405020303"/>
    <w:charset w:val="00"/>
    <w:family w:val="auto"/>
    <w:pitch w:val="default"/>
    <w:sig w:usb0="00000287" w:usb1="00000000" w:usb2="00000000" w:usb3="00000000" w:csb0="2000009F" w:csb1="00000000"/>
    <w:embedRegular r:id="rId7" w:fontKey="{9D9F4605-92C1-4AC5-B469-902677F142E6}"/>
  </w:font>
  <w:font w:name="Roboto Mono">
    <w:altName w:val="Segoe Print"/>
    <w:panose1 w:val="00000000000000000000"/>
    <w:charset w:val="00"/>
    <w:family w:val="auto"/>
    <w:pitch w:val="default"/>
    <w:sig w:usb0="00000000" w:usb1="00000000" w:usb2="00000000" w:usb3="00000000" w:csb0="00000000" w:csb1="00000000"/>
    <w:embedRegular r:id="rId8" w:fontKey="{2E386B3A-9876-432F-85E4-FF7DEFF8C07C}"/>
  </w:font>
  <w:font w:name="Segoe Print">
    <w:panose1 w:val="02000600000000000000"/>
    <w:charset w:val="00"/>
    <w:family w:val="auto"/>
    <w:pitch w:val="default"/>
    <w:sig w:usb0="0000028F" w:usb1="00000000" w:usb2="00000000" w:usb3="00000000" w:csb0="2000009F" w:csb1="47010000"/>
    <w:embedRegular r:id="rId9" w:fontKey="{5104C914-5226-4745-8301-70AB9377864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03943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00" w:lineRule="auto"/>
    </w:pPr>
    <w:rPr>
      <w:rFonts w:ascii="Inter" w:hAnsi="Inter" w:eastAsia="Inter" w:cs="Inter"/>
      <w:color w:val="333333"/>
      <w:sz w:val="24"/>
      <w:szCs w:val="24"/>
      <w:lang w:val="en"/>
    </w:rPr>
  </w:style>
  <w:style w:type="paragraph" w:styleId="2">
    <w:name w:val="heading 1"/>
    <w:basedOn w:val="1"/>
    <w:next w:val="1"/>
    <w:uiPriority w:val="0"/>
    <w:pPr>
      <w:keepNext/>
      <w:keepLines/>
      <w:pageBreakBefore w:val="0"/>
      <w:spacing w:before="480" w:after="120" w:line="288" w:lineRule="auto"/>
    </w:pPr>
    <w:rPr>
      <w:rFonts w:ascii="Montserrat" w:hAnsi="Montserrat" w:eastAsia="Montserrat" w:cs="Montserrat"/>
      <w:b/>
      <w:bCs/>
      <w:color w:val="2C3E50"/>
      <w:sz w:val="32"/>
      <w:szCs w:val="32"/>
    </w:rPr>
  </w:style>
  <w:style w:type="paragraph" w:styleId="3">
    <w:name w:val="heading 2"/>
    <w:basedOn w:val="1"/>
    <w:next w:val="1"/>
    <w:uiPriority w:val="0"/>
    <w:pPr>
      <w:keepNext/>
      <w:keepLines/>
      <w:pageBreakBefore w:val="0"/>
      <w:spacing w:before="360" w:after="80" w:line="288" w:lineRule="auto"/>
    </w:pPr>
    <w:rPr>
      <w:rFonts w:ascii="Montserrat" w:hAnsi="Montserrat" w:eastAsia="Montserrat" w:cs="Montserrat"/>
      <w:b/>
      <w:bCs/>
      <w:color w:val="455A64"/>
      <w:sz w:val="28"/>
      <w:szCs w:val="28"/>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line="240" w:lineRule="auto"/>
    </w:pPr>
    <w:rPr>
      <w:rFonts w:ascii="Montserrat" w:hAnsi="Montserrat" w:eastAsia="Montserrat" w:cs="Montserrat"/>
      <w:b/>
      <w:bCs/>
      <w:color w:val="1A237E"/>
      <w:sz w:val="44"/>
      <w:szCs w:val="44"/>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372</Words>
  <Characters>2751</Characters>
  <TotalTime>20</TotalTime>
  <ScaleCrop>false</ScaleCrop>
  <LinksUpToDate>false</LinksUpToDate>
  <CharactersWithSpaces>3083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2026-09-21T12:18:59Z</dcterms:created>
  <dc:creator>sh</dc:creator>
  <cp:lastModifiedBy>Mostafa Mohamed</cp:lastModifiedBy>
  <dcterms:modified xsi:type="dcterms:W3CDTF">2026-09-21T12:39:01Z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eyJoZGlkIjoiNGM5ODU5N2ZkZDc4NDljMjUzOGY4OWNhYjNkMTE0YWEiLCJ1c2VySWQiOiIxNDQzMTA5NjczMzk5MCJ9</vt:lpwstr>
  </property>
  <property fmtid="{D5CDD505-2E9C-101B-9397-08002B2CF9AE}" pid="3" name="KSOProductBuildVer">
    <vt:lpwstr>1033-12.1.0.28485</vt:lpwstr>
  </property>
  <property fmtid="{D5CDD505-2E9C-101B-9397-08002B2CF9AE}" pid="4" name="ICV">
    <vt:lpwstr>894937CC6FD64753BDCB248C9AA61535_12</vt:lpwstr>
  </property>
</Properties>
</file>