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</w:pPr>
      <w:bookmarkStart w:id="0" w:name="_skxnogcl4wrj" w:colFirst="0" w:colLast="0"/>
      <w:bookmarkEnd w:id="0"/>
      <w:r>
        <w:rPr>
          <w:rtl w:val="0"/>
        </w:rPr>
        <w:t>Daily Training Report - Day 3 (Part 2)</w:t>
      </w:r>
    </w:p>
    <w:p w14:paraId="00000002">
      <w:r>
        <w:rPr>
          <w:b/>
          <w:bCs/>
          <w:rtl w:val="0"/>
        </w:rPr>
        <w:t>Trainee Name:</w:t>
      </w:r>
      <w:r>
        <w:rPr>
          <w:rtl w:val="0"/>
        </w:rPr>
        <w:t xml:space="preserve"> Mostafa Mohamed</w:t>
      </w:r>
      <w:r>
        <w:rPr>
          <w:rtl w:val="0"/>
        </w:rPr>
        <w:br w:type="textWrapping"/>
      </w:r>
      <w:r>
        <w:rPr>
          <w:b/>
          <w:bCs/>
          <w:rtl w:val="0"/>
        </w:rPr>
        <w:t>Date:</w:t>
      </w:r>
      <w:r>
        <w:rPr>
          <w:rtl w:val="0"/>
        </w:rPr>
        <w:t xml:space="preserve"> Day 3</w:t>
      </w:r>
    </w:p>
    <w:p w14:paraId="00000003">
      <w:pPr>
        <w:pStyle w:val="2"/>
      </w:pPr>
      <w:bookmarkStart w:id="1" w:name="_y35bxmhaaxwr" w:colFirst="0" w:colLast="0"/>
      <w:bookmarkEnd w:id="1"/>
      <w:r>
        <w:rPr>
          <w:rtl w:val="0"/>
        </w:rPr>
        <w:t>1. Overview &amp; Cor</w:t>
      </w:r>
      <w:bookmarkStart w:id="6" w:name="_GoBack"/>
      <w:bookmarkEnd w:id="6"/>
      <w:r>
        <w:rPr>
          <w:rtl w:val="0"/>
        </w:rPr>
        <w:t>e Tasks Completed</w:t>
      </w:r>
    </w:p>
    <w:p w14:paraId="00000004">
      <w:pPr>
        <w:pStyle w:val="3"/>
      </w:pPr>
      <w:bookmarkStart w:id="2" w:name="_rruv4zing0vu" w:colFirst="0" w:colLast="0"/>
      <w:bookmarkEnd w:id="2"/>
      <w:r>
        <w:rPr>
          <w:rtl w:val="0"/>
        </w:rPr>
        <w:t>API Security Testing Environment Setup (Postman)</w:t>
      </w:r>
    </w:p>
    <w:p w14:paraId="00000005">
      <w:r>
        <w:rPr>
          <w:rtl w:val="0"/>
        </w:rPr>
        <w:t>During this session, the environment for systematic API security auditing was established to ensure rigorous testing of the project infrastructure.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7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Downloaded, installed, and configured </w:t>
      </w:r>
      <w:r>
        <w:rPr>
          <w:b/>
          <w:bCs/>
          <w:rtl w:val="0"/>
        </w:rPr>
        <w:t>Postman</w:t>
      </w:r>
      <w:r>
        <w:rPr>
          <w:rtl w:val="0"/>
        </w:rPr>
        <w:t xml:space="preserve"> for comprehensive API Security Testing.</w:t>
      </w:r>
    </w:p>
    <w:p w14:paraId="00000008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Created and initialized the primary workspace: </w:t>
      </w:r>
      <w:r>
        <w:rPr>
          <w:b/>
          <w:bCs/>
          <w:rtl w:val="0"/>
        </w:rPr>
        <w:t>"Smart Asset Inventory - P3"</w:t>
      </w:r>
      <w:r>
        <w:rPr>
          <w:rtl w:val="0"/>
        </w:rPr>
        <w:t>.</w:t>
      </w:r>
    </w:p>
    <w:p w14:paraId="00000009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Built the main API Security Collection: </w:t>
      </w:r>
      <w:r>
        <w:rPr>
          <w:b/>
          <w:bCs/>
          <w:rtl w:val="0"/>
        </w:rPr>
        <w:t>"P3-B | Security API Testing"</w:t>
      </w:r>
      <w:r>
        <w:rPr>
          <w:rtl w:val="0"/>
        </w:rPr>
        <w:t>.</w:t>
      </w:r>
    </w:p>
    <w:p w14:paraId="0000000A">
      <w:pPr>
        <w:numPr>
          <w:ilvl w:val="0"/>
          <w:numId w:val="1"/>
        </w:numPr>
        <w:ind w:left="720" w:hanging="360"/>
      </w:pPr>
      <w:r>
        <w:rPr>
          <w:rtl w:val="0"/>
        </w:rPr>
        <w:t>Organized test suites into dedicated functional security modules:</w:t>
      </w:r>
    </w:p>
    <w:p w14:paraId="0000000B">
      <w:pPr>
        <w:numPr>
          <w:ilvl w:val="1"/>
          <w:numId w:val="1"/>
        </w:numPr>
        <w:ind w:left="1440" w:hanging="360"/>
      </w:pPr>
      <w:r>
        <w:rPr>
          <w:rtl w:val="0"/>
        </w:rPr>
        <w:t>Authentication</w:t>
      </w:r>
    </w:p>
    <w:p w14:paraId="0000000C">
      <w:pPr>
        <w:numPr>
          <w:ilvl w:val="1"/>
          <w:numId w:val="1"/>
        </w:numPr>
        <w:ind w:left="1440" w:hanging="360"/>
      </w:pPr>
      <w:r>
        <w:rPr>
          <w:rtl w:val="0"/>
        </w:rPr>
        <w:t>RBAC / Authorization</w:t>
      </w:r>
    </w:p>
    <w:p w14:paraId="0000000D">
      <w:pPr>
        <w:numPr>
          <w:ilvl w:val="1"/>
          <w:numId w:val="1"/>
        </w:numPr>
        <w:ind w:left="1440" w:hanging="360"/>
      </w:pPr>
      <w:r>
        <w:rPr>
          <w:rtl w:val="0"/>
        </w:rPr>
        <w:t>Organization Scope</w:t>
      </w:r>
    </w:p>
    <w:p w14:paraId="0000000E">
      <w:pPr>
        <w:numPr>
          <w:ilvl w:val="1"/>
          <w:numId w:val="1"/>
        </w:numPr>
        <w:ind w:left="1440" w:hanging="360"/>
      </w:pPr>
      <w:r>
        <w:rPr>
          <w:rtl w:val="0"/>
        </w:rPr>
        <w:t>Object Authorization</w:t>
      </w:r>
    </w:p>
    <w:p w14:paraId="0000000F">
      <w:pPr>
        <w:numPr>
          <w:ilvl w:val="1"/>
          <w:numId w:val="1"/>
        </w:numPr>
        <w:ind w:left="1440" w:hanging="360"/>
      </w:pPr>
      <w:r>
        <w:rPr>
          <w:rtl w:val="0"/>
        </w:rPr>
        <w:t>Files / Documents</w:t>
      </w:r>
    </w:p>
    <w:p w14:paraId="00000010">
      <w:pPr>
        <w:numPr>
          <w:ilvl w:val="1"/>
          <w:numId w:val="1"/>
        </w:numPr>
        <w:ind w:left="1440" w:hanging="360"/>
      </w:pPr>
      <w:r>
        <w:rPr>
          <w:rtl w:val="0"/>
        </w:rPr>
        <w:t>Transfer / Retirement</w:t>
      </w:r>
    </w:p>
    <w:p w14:paraId="00000011">
      <w:pPr>
        <w:numPr>
          <w:ilvl w:val="1"/>
          <w:numId w:val="1"/>
        </w:numPr>
        <w:ind w:left="1440" w:hanging="360"/>
      </w:pPr>
      <w:r>
        <w:rPr>
          <w:rtl w:val="0"/>
        </w:rPr>
        <w:t>Audit</w:t>
      </w:r>
    </w:p>
    <w:p w14:paraId="00000012">
      <w:pPr>
        <w:pStyle w:val="3"/>
      </w:pPr>
      <w:bookmarkStart w:id="3" w:name="_j0lpc1vb5nzr" w:colFirst="0" w:colLast="0"/>
      <w:bookmarkEnd w:id="3"/>
      <w:r>
        <w:rPr>
          <w:rtl w:val="0"/>
        </w:rPr>
        <w:t>Specialized Self-Study: Mobile Pentesting (Android &amp; Flutter)</w:t>
      </w:r>
    </w:p>
    <w:p w14:paraId="00000013">
      <w:r>
        <w:rPr>
          <w:rtl w:val="0"/>
        </w:rPr>
        <w:t xml:space="preserve">Conducted technical self-study to complement Web Pentesting skills with </w:t>
      </w:r>
      <w:r>
        <w:rPr>
          <w:b/>
          <w:bCs/>
          <w:rtl w:val="0"/>
        </w:rPr>
        <w:t>Android &amp; Flutter Security Testing</w:t>
      </w:r>
      <w:r>
        <w:rPr>
          <w:rtl w:val="0"/>
        </w:rPr>
        <w:t>, focusing on the unique architecture of cross-platform mobile frameworks.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15">
      <w:r>
        <w:rPr>
          <w:b/>
          <w:bCs/>
          <w:rtl w:val="0"/>
        </w:rPr>
        <w:t>Focus Areas Studied: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17">
      <w:pPr>
        <w:numPr>
          <w:ilvl w:val="0"/>
          <w:numId w:val="2"/>
        </w:numPr>
        <w:ind w:left="720" w:hanging="360"/>
      </w:pPr>
      <w:r>
        <w:rPr>
          <w:rtl w:val="0"/>
        </w:rPr>
        <w:t>Authentication and Authorization flows in Flutter mobile apps.</w:t>
      </w:r>
    </w:p>
    <w:p w14:paraId="00000018">
      <w:pPr>
        <w:numPr>
          <w:ilvl w:val="0"/>
          <w:numId w:val="2"/>
        </w:numPr>
        <w:ind w:left="720" w:hanging="360"/>
      </w:pPr>
      <w:r>
        <w:rPr>
          <w:rtl w:val="0"/>
        </w:rPr>
        <w:t>API interactions and security controls for mobile backends.</w:t>
      </w:r>
    </w:p>
    <w:p w14:paraId="00000019">
      <w:pPr>
        <w:numPr>
          <w:ilvl w:val="0"/>
          <w:numId w:val="2"/>
        </w:numPr>
        <w:ind w:left="720" w:hanging="360"/>
      </w:pPr>
      <w:r>
        <w:rPr>
          <w:b/>
          <w:bCs/>
          <w:rtl w:val="0"/>
        </w:rPr>
        <w:t>OWASP Mobile Top 10</w:t>
      </w:r>
      <w:r>
        <w:rPr>
          <w:rtl w:val="0"/>
        </w:rPr>
        <w:t xml:space="preserve"> security risks and vulnerability testing methodologies for Android.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1B">
      <w:r>
        <w:rPr>
          <w:b/>
          <w:bCs/>
          <w:rtl w:val="0"/>
        </w:rPr>
        <w:t>Hands-on Practical Labs: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1D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Lab Environment &amp; Practice Link: </w:t>
      </w:r>
      <w:r>
        <w:rPr>
          <w:color w:val="000000"/>
          <w:rtl w:val="0"/>
        </w:rPr>
        <w:t>File</w:t>
      </w:r>
    </w:p>
    <w:p w14:paraId="0000001E">
      <w:pPr>
        <w:pStyle w:val="2"/>
      </w:pPr>
      <w:bookmarkStart w:id="4" w:name="_6mgvkodww8mf" w:colFirst="0" w:colLast="0"/>
      <w:bookmarkEnd w:id="4"/>
      <w:r>
        <w:rPr>
          <w:rtl w:val="0"/>
        </w:rPr>
        <w:t>2. Key Learnings &amp; Technical Skills Applied</w:t>
      </w:r>
    </w:p>
    <w:p w14:paraId="0000001F">
      <w:r>
        <w:rPr>
          <w:rtl w:val="0"/>
        </w:rPr>
        <w:t>The following technical competencies were developed and applied during the training period: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1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>API Architecture:</w:t>
      </w:r>
      <w:r>
        <w:rPr>
          <w:rtl w:val="0"/>
        </w:rPr>
        <w:t xml:space="preserve"> Structured Postman workspace and collection design specifically for security-focused testing rather than functional testing alone.</w:t>
      </w:r>
    </w:p>
    <w:p w14:paraId="00000022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>Mobile Fundamentals:</w:t>
      </w:r>
      <w:r>
        <w:rPr>
          <w:rtl w:val="0"/>
        </w:rPr>
        <w:t xml:space="preserve"> Understanding Mobile Pentesting Fundamentals including Android system architecture and the Flutter framework’s security implementation.</w:t>
      </w:r>
    </w:p>
    <w:p w14:paraId="00000023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>Standardized Frameworks:</w:t>
      </w:r>
      <w:r>
        <w:rPr>
          <w:rtl w:val="0"/>
        </w:rPr>
        <w:t xml:space="preserve"> Applying OWASP Mobile Top 10 guidelines to perform standardized mobile application security evaluations.</w:t>
      </w:r>
    </w:p>
    <w:p w14:paraId="00000024">
      <w:pPr>
        <w:pStyle w:val="2"/>
      </w:pPr>
      <w:bookmarkStart w:id="5" w:name="_o8m9cty3pmrr" w:colFirst="0" w:colLast="0"/>
      <w:bookmarkEnd w:id="5"/>
      <w:r>
        <w:rPr>
          <w:rtl w:val="0"/>
        </w:rPr>
        <w:t>3. Associated Links &amp; Resources</w:t>
      </w:r>
    </w:p>
    <w:tbl>
      <w:tblPr>
        <w:tblStyle w:val="13"/>
        <w:tblW w:w="10000" w:type="dxa"/>
        <w:tblInd w:w="0" w:type="dxa"/>
        <w:tblBorders>
          <w:top w:val="single" w:color="E2E8F0" w:sz="8" w:space="0"/>
          <w:left w:val="none" w:color="000000" w:sz="0" w:space="0"/>
          <w:bottom w:val="single" w:color="E2E8F0" w:sz="8" w:space="0"/>
          <w:right w:val="none" w:color="000000" w:sz="0" w:space="0"/>
          <w:insideH w:val="single" w:color="E2E8F0" w:sz="8" w:space="0"/>
          <w:insideV w:val="single" w:color="E2E8F0" w:sz="8" w:space="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5000"/>
        <w:gridCol w:w="5000"/>
      </w:tblGrid>
      <w:tr w14:paraId="2E5172B0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2E8F0" w:sz="8" w:space="0"/>
            <w:insideV w:val="single" w:color="E2E8F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rPr>
          <w:tblHeader/>
        </w:trPr>
        <w:tc>
          <w:tcPr>
            <w:shd w:val="clear" w:color="auto" w:fill="FFFFFF"/>
            <w:vAlign w:val="center"/>
          </w:tcPr>
          <w:p w14:paraId="00000025">
            <w:r>
              <w:rPr>
                <w:rtl w:val="0"/>
              </w:rPr>
              <w:t>Resource Type</w:t>
            </w:r>
          </w:p>
        </w:tc>
        <w:tc>
          <w:tcPr>
            <w:shd w:val="clear" w:color="auto" w:fill="FFFFFF"/>
            <w:vAlign w:val="center"/>
          </w:tcPr>
          <w:p w14:paraId="00000026">
            <w:r>
              <w:rPr>
                <w:rtl w:val="0"/>
              </w:rPr>
              <w:t>Details</w:t>
            </w:r>
          </w:p>
        </w:tc>
      </w:tr>
      <w:tr w14:paraId="3A711FC7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2E8F0" w:sz="8" w:space="0"/>
            <w:insideV w:val="single" w:color="E2E8F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center"/>
          </w:tcPr>
          <w:p w14:paraId="00000027">
            <w:r>
              <w:rPr>
                <w:b/>
                <w:bCs/>
                <w:rtl w:val="0"/>
              </w:rPr>
              <w:t>Postman Workspace</w:t>
            </w:r>
          </w:p>
        </w:tc>
        <w:tc>
          <w:tcPr>
            <w:shd w:val="clear" w:color="auto" w:fill="FFFFFF"/>
            <w:vAlign w:val="center"/>
          </w:tcPr>
          <w:p w14:paraId="00000028">
            <w:r>
              <w:rPr>
                <w:rtl w:val="0"/>
              </w:rPr>
              <w:t>Smart Asset Inventory - P3</w:t>
            </w:r>
          </w:p>
        </w:tc>
      </w:tr>
      <w:tr w14:paraId="2EADCA9A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2E8F0" w:sz="8" w:space="0"/>
            <w:insideV w:val="single" w:color="E2E8F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center"/>
          </w:tcPr>
          <w:p w14:paraId="00000029">
            <w:r>
              <w:rPr>
                <w:b/>
                <w:bCs/>
                <w:rtl w:val="0"/>
              </w:rPr>
              <w:t>Postman Collection</w:t>
            </w:r>
          </w:p>
        </w:tc>
        <w:tc>
          <w:tcPr>
            <w:shd w:val="clear" w:color="auto" w:fill="FFFFFF"/>
            <w:vAlign w:val="center"/>
          </w:tcPr>
          <w:p w14:paraId="0000002A">
            <w:r>
              <w:rPr>
                <w:rtl w:val="0"/>
              </w:rPr>
              <w:t>P3-B</w:t>
            </w:r>
          </w:p>
        </w:tc>
      </w:tr>
      <w:tr w14:paraId="65FE4649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2E8F0" w:sz="8" w:space="0"/>
            <w:insideV w:val="single" w:color="E2E8F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center"/>
          </w:tcPr>
          <w:p w14:paraId="0000002B">
            <w:r>
              <w:rPr>
                <w:b/>
                <w:bCs/>
                <w:rtl w:val="0"/>
              </w:rPr>
              <w:t>Practical Labs</w:t>
            </w:r>
          </w:p>
        </w:tc>
        <w:tc>
          <w:tcPr>
            <w:shd w:val="clear" w:color="auto" w:fill="FFFFFF"/>
            <w:vAlign w:val="center"/>
          </w:tcPr>
          <w:p w14:paraId="0000002C">
            <w:r>
              <w:rPr>
                <w:color w:val="000000"/>
                <w:rtl w:val="0"/>
              </w:rPr>
              <w:t>File</w:t>
            </w:r>
          </w:p>
        </w:tc>
      </w:tr>
      <w:tr w14:paraId="3DF0D5DA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2E8F0" w:sz="8" w:space="0"/>
            <w:insideV w:val="single" w:color="E2E8F0" w:sz="8" w:space="0"/>
          </w:tblBorders>
          <w:tblCellMar>
            <w:top w:w="160" w:type="dxa"/>
            <w:left w:w="200" w:type="dxa"/>
            <w:bottom w:w="160" w:type="dxa"/>
            <w:right w:w="200" w:type="dxa"/>
          </w:tblCellMar>
        </w:tblPrEx>
        <w:tc>
          <w:tcPr>
            <w:shd w:val="clear" w:color="auto" w:fill="FFFFFF"/>
            <w:vAlign w:val="center"/>
          </w:tcPr>
          <w:p w14:paraId="73CBDF1D">
            <w:pPr>
              <w:rPr>
                <w:b/>
                <w:bCs/>
                <w:rtl w:val="0"/>
              </w:rPr>
            </w:pPr>
          </w:p>
        </w:tc>
        <w:tc>
          <w:tcPr>
            <w:shd w:val="clear" w:color="auto" w:fill="FFFFFF"/>
            <w:vAlign w:val="center"/>
          </w:tcPr>
          <w:p w14:paraId="39045AFF">
            <w:pPr>
              <w:rPr>
                <w:color w:val="000000"/>
                <w:rtl w:val="0"/>
              </w:rPr>
            </w:pPr>
          </w:p>
        </w:tc>
      </w:tr>
    </w:tbl>
    <w:p w14:paraId="20BC281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8C7373D-EBBA-44BE-9FAB-E27D81860AC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A8CAEBD-9A88-4433-AD6A-522CE4C1D21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3C8B24F-4437-4764-B856-B67EFA69284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5F175052-1E8A-4608-A16D-188236DF47F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1F737FF4-A030-4FD1-89E6-606BCDF0A3E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3A562E7-A46A-4F06-9E91-0C52F991133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38736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Inter" w:hAnsi="Inter" w:eastAsia="Inter" w:cs="Inte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Inter" w:hAnsi="Inter" w:eastAsia="Inter" w:cs="Inter"/>
      <w:color w:val="334155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 w:line="276" w:lineRule="auto"/>
    </w:pPr>
    <w:rPr>
      <w:rFonts w:ascii="Inter" w:hAnsi="Inter" w:eastAsia="Inter" w:cs="Inter"/>
      <w:b/>
      <w:bCs/>
      <w:color w:val="1E293B"/>
      <w:sz w:val="36"/>
      <w:szCs w:val="36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 w:line="276" w:lineRule="auto"/>
    </w:pPr>
    <w:rPr>
      <w:rFonts w:ascii="Inter" w:hAnsi="Inter" w:eastAsia="Inter" w:cs="Inter"/>
      <w:b/>
      <w:bCs/>
      <w:color w:val="334155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 w:line="276" w:lineRule="auto"/>
    </w:pPr>
    <w:rPr>
      <w:rFonts w:ascii="Inter" w:hAnsi="Inter" w:eastAsia="Inter" w:cs="Inter"/>
      <w:b/>
      <w:bCs/>
      <w:color w:val="475569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 w:line="240" w:lineRule="auto"/>
    </w:pPr>
    <w:rPr>
      <w:rFonts w:ascii="Inter" w:hAnsi="Inter" w:eastAsia="Inter" w:cs="Inter"/>
      <w:b/>
      <w:bCs/>
      <w:color w:val="0F172A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hAnsi="Inter" w:eastAsia="Inter" w:cs="Inter"/>
        <w:b/>
        <w:bCs/>
        <w:i w:val="0"/>
        <w:iCs w:val="0"/>
        <w:color w:val="1E293B"/>
        <w:sz w:val="24"/>
        <w:szCs w:val="24"/>
      </w:rPr>
      <w:tcPr>
        <w:shd w:val="clear" w:color="auto" w:fill="F8FAFC"/>
        <w:vAlign w:val="center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262</Words>
  <Characters>1728</Characters>
  <TotalTime>226</TotalTime>
  <ScaleCrop>false</ScaleCrop>
  <LinksUpToDate>false</LinksUpToDate>
  <CharactersWithSpaces>1949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2026-09-21T14:57:17Z</dcterms:created>
  <dc:creator>sh</dc:creator>
  <cp:lastModifiedBy>Mostafa Mohamed</cp:lastModifiedBy>
  <dcterms:modified xsi:type="dcterms:W3CDTF">2026-09-21T18:43:40Z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eyJoZGlkIjoiNGM5ODU5N2ZkZDc4NDljMjUzOGY4OWNhYjNkMTE0YWEiLCJ1c2VySWQiOiIxNDQzMTA5NjczMzk5MCJ9</vt:lpwstr>
  </property>
  <property fmtid="{D5CDD505-2E9C-101B-9397-08002B2CF9AE}" pid="3" name="KSOProductBuildVer">
    <vt:lpwstr>1033-12.1.0.28485</vt:lpwstr>
  </property>
  <property fmtid="{D5CDD505-2E9C-101B-9397-08002B2CF9AE}" pid="4" name="ICV">
    <vt:lpwstr>E46D61495F324741B014D09737E818D4_12</vt:lpwstr>
  </property>
</Properties>
</file>