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ptos" w:hAnsi="Aptos"/>
          <w:b/>
          <w:sz w:val="44"/>
        </w:rPr>
        <w:t>Security Requirements</w:t>
      </w:r>
    </w:p>
    <w:p>
      <w:pPr>
        <w:spacing w:after="300"/>
      </w:pPr>
      <w:r>
        <w:rPr>
          <w:rFonts w:ascii="Aptos" w:hAnsi="Aptos"/>
          <w:b w:val="0"/>
          <w:color w:val="505050"/>
          <w:sz w:val="23"/>
        </w:rPr>
        <w:t>Smart Asset Inventory and Predictive Maintenance  Revised</w:t>
      </w:r>
    </w:p>
    <w:p>
      <w:pPr>
        <w:spacing w:after="200" w:line="264" w:lineRule="auto"/>
      </w:pPr>
      <w:r>
        <w:rPr>
          <w:rFonts w:ascii="Aptos" w:hAnsi="Aptos"/>
          <w:b w:val="0"/>
          <w:sz w:val="21"/>
        </w:rPr>
        <w:t>This document defines mandatory, testable security requirements for the Smart Asset Inventory and Predictive Maintenance system. The additions in this revision close gaps identified in session security, separation of duties, file safety, application protection, secrets, database security, auditability, and AI data integrity.</w:t>
      </w:r>
    </w:p>
    <w:p>
      <w:pPr>
        <w:pStyle w:val="Heading1"/>
        <w:spacing w:before="220" w:after="80"/>
      </w:pPr>
      <w:r>
        <w:rPr>
          <w:rFonts w:ascii="Aptos" w:hAnsi="Aptos"/>
          <w:b/>
          <w:sz w:val="28"/>
        </w:rPr>
        <w:t>1 Authentication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699"/>
            <w:shd w:fill="1F4E78"/>
            <w:tcMar>
              <w:top w:w="85" w:type="dxa"/>
              <w:start w:w="110" w:type="dxa"/>
              <w:bottom w:w="85" w:type="dxa"/>
              <w:end w:w="110" w:type="dxa"/>
            </w:tcMar>
            <w:vAlign w:val="center"/>
          </w:tcPr>
          <w:p>
            <w:pPr>
              <w:jc w:val="center"/>
            </w:pPr>
            <w:r>
              <w:rPr>
                <w:rFonts w:ascii="Aptos" w:hAnsi="Aptos"/>
                <w:b/>
                <w:color w:val="FFFFFF"/>
                <w:sz w:val="17"/>
              </w:rPr>
              <w:t>ID</w:t>
            </w:r>
          </w:p>
        </w:tc>
        <w:tc>
          <w:tcPr>
            <w:tcW w:type="dxa" w:w="979"/>
            <w:shd w:fill="1F4E78"/>
            <w:tcMar>
              <w:top w:w="85" w:type="dxa"/>
              <w:start w:w="110" w:type="dxa"/>
              <w:bottom w:w="85" w:type="dxa"/>
              <w:end w:w="110" w:type="dxa"/>
            </w:tcMar>
            <w:vAlign w:val="center"/>
          </w:tcPr>
          <w:p>
            <w:pPr>
              <w:jc w:val="center"/>
            </w:pPr>
            <w:r>
              <w:rPr>
                <w:rFonts w:ascii="Aptos" w:hAnsi="Aptos"/>
                <w:b/>
                <w:color w:val="FFFFFF"/>
                <w:sz w:val="17"/>
              </w:rPr>
              <w:t>Priority</w:t>
            </w:r>
          </w:p>
        </w:tc>
        <w:tc>
          <w:tcPr>
            <w:tcW w:type="dxa" w:w="8136"/>
            <w:shd w:fill="1F4E78"/>
            <w:tcMar>
              <w:top w:w="85" w:type="dxa"/>
              <w:start w:w="110" w:type="dxa"/>
              <w:bottom w:w="85" w:type="dxa"/>
              <w:end w:w="110" w:type="dxa"/>
            </w:tcMar>
            <w:vAlign w:val="center"/>
          </w:tcPr>
          <w:p>
            <w:pPr>
              <w:jc w:val="left"/>
            </w:pPr>
            <w:r>
              <w:rPr>
                <w:rFonts w:ascii="Aptos" w:hAnsi="Aptos"/>
                <w:b/>
                <w:color w:val="FFFFFF"/>
                <w:sz w:val="17"/>
              </w:rPr>
              <w:t>Security Requirement</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AST-SEC-REQ-01</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The system shall require authentication before accessing protected resources.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AST-SEC-REQ-02</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The system shall reject invalid or expired authentication tokens.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AST-SEC-REQ-03</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Passwords shall never be stored in plaintext.</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AST-SEC-REQ-04</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Authentication credentials and tokens shall not be stored in application logs.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AST-SEC-REQ-41</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Authentication endpoints shall enforce rate limiting and temporary lockout or equivalent controls against brute-force and credential-stuffing attacks.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AST-SEC-REQ-42</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Sessions and refresh tokens shall have defined expiry, rotation and revocation behaviour, including logout and password-change revocation.</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AST-SEC-REQ-43</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Password-reset flows shall use single-use, short-lived tokens and shall not reveal whether an account exists.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AST-SEC-REQ-54</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Authentication tokens shall not be stored in insecure client storage. The Flutter mobile application shall use flutter_secure_storage for all token storage and shall not use SharedPreferences or any unencrypted local storage. Tokens shall be cleared on logout or session revocation and shall never appear in application logs or crash reports.</w:t>
            </w:r>
          </w:p>
        </w:tc>
      </w:tr>
    </w:tbl>
    <w:p>
      <w:pPr>
        <w:spacing w:after="40"/>
      </w:pPr>
    </w:p>
    <w:p>
      <w:pPr>
        <w:pStyle w:val="Heading1"/>
        <w:spacing w:before="220" w:after="80"/>
      </w:pPr>
      <w:r>
        <w:rPr>
          <w:rFonts w:ascii="Aptos" w:hAnsi="Aptos"/>
          <w:b/>
          <w:sz w:val="28"/>
        </w:rPr>
        <w:t>2 Authorization and Organizational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699"/>
            <w:shd w:fill="1F4E78"/>
            <w:tcMar>
              <w:top w:w="85" w:type="dxa"/>
              <w:start w:w="110" w:type="dxa"/>
              <w:bottom w:w="85" w:type="dxa"/>
              <w:end w:w="110" w:type="dxa"/>
            </w:tcMar>
            <w:vAlign w:val="center"/>
          </w:tcPr>
          <w:p>
            <w:pPr>
              <w:jc w:val="center"/>
            </w:pPr>
            <w:r>
              <w:rPr>
                <w:rFonts w:ascii="Aptos" w:hAnsi="Aptos"/>
                <w:b/>
                <w:color w:val="FFFFFF"/>
                <w:sz w:val="17"/>
              </w:rPr>
              <w:t>ID</w:t>
            </w:r>
          </w:p>
        </w:tc>
        <w:tc>
          <w:tcPr>
            <w:tcW w:type="dxa" w:w="979"/>
            <w:shd w:fill="1F4E78"/>
            <w:tcMar>
              <w:top w:w="85" w:type="dxa"/>
              <w:start w:w="110" w:type="dxa"/>
              <w:bottom w:w="85" w:type="dxa"/>
              <w:end w:w="110" w:type="dxa"/>
            </w:tcMar>
            <w:vAlign w:val="center"/>
          </w:tcPr>
          <w:p>
            <w:pPr>
              <w:jc w:val="center"/>
            </w:pPr>
            <w:r>
              <w:rPr>
                <w:rFonts w:ascii="Aptos" w:hAnsi="Aptos"/>
                <w:b/>
                <w:color w:val="FFFFFF"/>
                <w:sz w:val="17"/>
              </w:rPr>
              <w:t>Priority</w:t>
            </w:r>
          </w:p>
        </w:tc>
        <w:tc>
          <w:tcPr>
            <w:tcW w:type="dxa" w:w="8136"/>
            <w:shd w:fill="1F4E78"/>
            <w:tcMar>
              <w:top w:w="85" w:type="dxa"/>
              <w:start w:w="110" w:type="dxa"/>
              <w:bottom w:w="85" w:type="dxa"/>
              <w:end w:w="110" w:type="dxa"/>
            </w:tcMar>
            <w:vAlign w:val="center"/>
          </w:tcPr>
          <w:p>
            <w:pPr>
              <w:jc w:val="left"/>
            </w:pPr>
            <w:r>
              <w:rPr>
                <w:rFonts w:ascii="Aptos" w:hAnsi="Aptos"/>
                <w:b/>
                <w:color w:val="FFFFFF"/>
                <w:sz w:val="17"/>
              </w:rPr>
              <w:t>Security Requirement</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AST-SEC-REQ-05</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The system shall enforce role-based access control on the backend.</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AST-SEC-REQ-06</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Each API endpoint shall require the appropriate permission for the requested action.</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AST-SEC-REQ-07</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Users shall not be able to perform actions outside their assigned role permissions.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AST-SEC-REQ-08</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Authorization shall be enforced independently of frontend visibility or UI restrictions.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AST-SEC-REQ-09</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Users shall not be able to modify their own role or permissions unless explicitly authorized.</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AST-SEC-REQ-10</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Users shall access only resources within their assigned organizational scope.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AST-SEC-REQ-11</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Access to child organizational units shall follow the assigned parent scope.</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AST-SEC-REQ-12</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Users shall not access resources belonging to unrelated or sibling organizations.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AST-SEC-REQ-13</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Organizational scope shall be enforced by the backend.</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AST-SEC-REQ-14</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Users shall not be able to modify their own organizational scope.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AST-SEC-REQ-44</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 requester shall not approve their own asset transfer, retirement, role grant, or organizational-scope grant.</w:t>
            </w:r>
          </w:p>
        </w:tc>
      </w:tr>
    </w:tbl>
    <w:p>
      <w:pPr>
        <w:spacing w:after="40"/>
      </w:pPr>
    </w:p>
    <w:p>
      <w:pPr>
        <w:pStyle w:val="Heading1"/>
        <w:spacing w:before="220" w:after="80"/>
      </w:pPr>
      <w:r>
        <w:rPr>
          <w:rFonts w:ascii="Aptos" w:hAnsi="Aptos"/>
          <w:b/>
          <w:sz w:val="28"/>
        </w:rPr>
        <w:t>3 Asset Financial and File Security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699"/>
            <w:shd w:fill="1F4E78"/>
            <w:tcMar>
              <w:top w:w="85" w:type="dxa"/>
              <w:start w:w="110" w:type="dxa"/>
              <w:bottom w:w="85" w:type="dxa"/>
              <w:end w:w="110" w:type="dxa"/>
            </w:tcMar>
            <w:vAlign w:val="center"/>
          </w:tcPr>
          <w:p>
            <w:pPr>
              <w:jc w:val="center"/>
            </w:pPr>
            <w:r>
              <w:rPr>
                <w:rFonts w:ascii="Aptos" w:hAnsi="Aptos"/>
                <w:b/>
                <w:color w:val="FFFFFF"/>
                <w:sz w:val="17"/>
              </w:rPr>
              <w:t>ID</w:t>
            </w:r>
          </w:p>
        </w:tc>
        <w:tc>
          <w:tcPr>
            <w:tcW w:type="dxa" w:w="979"/>
            <w:shd w:fill="1F4E78"/>
            <w:tcMar>
              <w:top w:w="85" w:type="dxa"/>
              <w:start w:w="110" w:type="dxa"/>
              <w:bottom w:w="85" w:type="dxa"/>
              <w:end w:w="110" w:type="dxa"/>
            </w:tcMar>
            <w:vAlign w:val="center"/>
          </w:tcPr>
          <w:p>
            <w:pPr>
              <w:jc w:val="center"/>
            </w:pPr>
            <w:r>
              <w:rPr>
                <w:rFonts w:ascii="Aptos" w:hAnsi="Aptos"/>
                <w:b/>
                <w:color w:val="FFFFFF"/>
                <w:sz w:val="17"/>
              </w:rPr>
              <w:t>Priority</w:t>
            </w:r>
          </w:p>
        </w:tc>
        <w:tc>
          <w:tcPr>
            <w:tcW w:type="dxa" w:w="8136"/>
            <w:shd w:fill="1F4E78"/>
            <w:tcMar>
              <w:top w:w="85" w:type="dxa"/>
              <w:start w:w="110" w:type="dxa"/>
              <w:bottom w:w="85" w:type="dxa"/>
              <w:end w:w="110" w:type="dxa"/>
            </w:tcMar>
            <w:vAlign w:val="center"/>
          </w:tcPr>
          <w:p>
            <w:pPr>
              <w:jc w:val="left"/>
            </w:pPr>
            <w:r>
              <w:rPr>
                <w:rFonts w:ascii="Aptos" w:hAnsi="Aptos"/>
                <w:b/>
                <w:color w:val="FFFFFF"/>
                <w:sz w:val="17"/>
              </w:rPr>
              <w:t>Security Requirement</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AST-SEC-REQ-15</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Asset modifications shall be restricted to authorized roles.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AST-SEC-REQ-16</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Asset transfers shall be restricted to authorized users and shall require an authenticated actor.</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AST-SEC-REQ-17</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Asset retirement shall require appropriate authorization and approval.</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AST-SEC-REQ-18</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Custody and transfer history shall not be silently modified or deleted.</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AST-SEC-REQ-19</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Asset retirement shall not remove the asset from historical or audit records.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AST-SEC-REQ-20</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Access to invoices and financial data shall be restricted to authorized roles.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AST-SEC-REQ-21</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Asset access shall not automatically grant access to financial information.</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AST-SEC-REQ-22</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Procurement documents shall be accessible only within the user's authorized organizational scope.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AST-SEC-REQ-23</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Financial and procurement access shall be enforced by the backend.</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AST-SEC-REQ-24</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Invoice and warranty attachments shall be stored in private storage.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AST-SEC-REQ-25</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File uploads shall be validated for allowed type and size.</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AST-SEC-REQ-26</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Attachment downloads shall require authorization.</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AST-SEC-REQ-27</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Attachment access shall use controlled or short-lived download authorization.</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AST-SEC-REQ-45</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Uploaded attachments shall be malware-scanned before download or business use; suspicious files shall be quarantined.</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AST-SEC-REQ-46</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The system shall validate file names and storage keys and shall not derive file paths or access decisions directly from user-controlled input.</w:t>
            </w:r>
          </w:p>
        </w:tc>
      </w:tr>
    </w:tbl>
    <w:p>
      <w:pPr>
        <w:spacing w:after="40"/>
      </w:pPr>
    </w:p>
    <w:p>
      <w:pPr>
        <w:pStyle w:val="Heading1"/>
        <w:spacing w:before="220" w:after="80"/>
      </w:pPr>
      <w:r>
        <w:rPr>
          <w:rFonts w:ascii="Aptos" w:hAnsi="Aptos"/>
          <w:b/>
          <w:sz w:val="28"/>
        </w:rPr>
        <w:t>4 Audit API and Platform Security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699"/>
            <w:shd w:fill="1F4E78"/>
            <w:tcMar>
              <w:top w:w="85" w:type="dxa"/>
              <w:start w:w="110" w:type="dxa"/>
              <w:bottom w:w="85" w:type="dxa"/>
              <w:end w:w="110" w:type="dxa"/>
            </w:tcMar>
            <w:vAlign w:val="center"/>
          </w:tcPr>
          <w:p>
            <w:pPr>
              <w:jc w:val="center"/>
            </w:pPr>
            <w:r>
              <w:rPr>
                <w:rFonts w:ascii="Aptos" w:hAnsi="Aptos"/>
                <w:b/>
                <w:color w:val="FFFFFF"/>
                <w:sz w:val="17"/>
              </w:rPr>
              <w:t>ID</w:t>
            </w:r>
          </w:p>
        </w:tc>
        <w:tc>
          <w:tcPr>
            <w:tcW w:type="dxa" w:w="979"/>
            <w:shd w:fill="1F4E78"/>
            <w:tcMar>
              <w:top w:w="85" w:type="dxa"/>
              <w:start w:w="110" w:type="dxa"/>
              <w:bottom w:w="85" w:type="dxa"/>
              <w:end w:w="110" w:type="dxa"/>
            </w:tcMar>
            <w:vAlign w:val="center"/>
          </w:tcPr>
          <w:p>
            <w:pPr>
              <w:jc w:val="center"/>
            </w:pPr>
            <w:r>
              <w:rPr>
                <w:rFonts w:ascii="Aptos" w:hAnsi="Aptos"/>
                <w:b/>
                <w:color w:val="FFFFFF"/>
                <w:sz w:val="17"/>
              </w:rPr>
              <w:t>Priority</w:t>
            </w:r>
          </w:p>
        </w:tc>
        <w:tc>
          <w:tcPr>
            <w:tcW w:type="dxa" w:w="8136"/>
            <w:shd w:fill="1F4E78"/>
            <w:tcMar>
              <w:top w:w="85" w:type="dxa"/>
              <w:start w:w="110" w:type="dxa"/>
              <w:bottom w:w="85" w:type="dxa"/>
              <w:end w:w="110" w:type="dxa"/>
            </w:tcMar>
            <w:vAlign w:val="center"/>
          </w:tcPr>
          <w:p>
            <w:pPr>
              <w:jc w:val="left"/>
            </w:pPr>
            <w:r>
              <w:rPr>
                <w:rFonts w:ascii="Aptos" w:hAnsi="Aptos"/>
                <w:b/>
                <w:color w:val="FFFFFF"/>
                <w:sz w:val="17"/>
              </w:rPr>
              <w:t>Security Requirement</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AST-SEC-REQ-28</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Critical actions shall generate audit events containing the actor and timestamp.</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AST-SEC-REQ-29</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Asset transfers, custody changes, retirement, permission changes, exports, prediction events, and security events shall be auditable.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AST-SEC-REQ-30</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Audit records shall be protected from unauthorized modification or deletion.</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AST-SEC-REQ-31</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Logs shall not contain passwords, authentication tokens, or unnecessary sensitive data.</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AST-SEC-REQ-32</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API endpoints shall validate authentication and authorization before performing protected operations.</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AST-SEC-REQ-33</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Resource-level authorization shall be enforced for assets, invoices, work orders, documents, transfers, and stocktake records.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AST-SEC-REQ-34</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User-controlled input shall be validated before processing.</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AST-SEC-REQ-35</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Database queries shall use parameterized queries or equivalent protection against injection attacks.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AST-SEC-REQ-36</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Sensitive errors shall not expose credentials, tokens, internal database details, or unnecessary system information.</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AST-SEC-REQ-47</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The application shall encode untrusted output and validate update payloads against an allow-list to prevent XSS and mass-assignment attacks.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AST-SEC-REQ-48</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Import files shall be validated and formula-like spreadsheet values shall be neutralized before export or display where spreadsheet execution is possible.</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AST-SEC-REQ-49</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The backend API shall use TLS for all external traffic. The Flutter mobile client shall not store authentication tokens in insecure storage and shall use flutter_secure_storage exclusively. CORS and security headers shall be applied on the backend; cookie-based sessions are not used in the Flutter client and CSRF protection applies only to any web-facing endpoints.</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AST-SEC-REQ-50</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Secrets shall be loaded from approved environment or secret storage, shall not be committed to source control, and shall be rotated after suspected exposure.</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AST-SEC-REQ-51</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Database accounts shall use least privilege; production backups shall be access-controlled, encrypted where supported, and recoverable through a tested restore procedure.</w:t>
            </w:r>
          </w:p>
        </w:tc>
      </w:tr>
    </w:tbl>
    <w:p>
      <w:pPr>
        <w:spacing w:after="40"/>
      </w:pPr>
    </w:p>
    <w:p>
      <w:pPr>
        <w:pStyle w:val="Heading1"/>
        <w:spacing w:before="220" w:after="80"/>
      </w:pPr>
      <w:r>
        <w:rPr>
          <w:rFonts w:ascii="Aptos" w:hAnsi="Aptos"/>
          <w:b/>
          <w:sz w:val="28"/>
        </w:rPr>
        <w:t>5 AI Risk Prediction Security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699"/>
            <w:shd w:fill="1F4E78"/>
            <w:tcMar>
              <w:top w:w="85" w:type="dxa"/>
              <w:start w:w="110" w:type="dxa"/>
              <w:bottom w:w="85" w:type="dxa"/>
              <w:end w:w="110" w:type="dxa"/>
            </w:tcMar>
            <w:vAlign w:val="center"/>
          </w:tcPr>
          <w:p>
            <w:pPr>
              <w:jc w:val="center"/>
            </w:pPr>
            <w:r>
              <w:rPr>
                <w:rFonts w:ascii="Aptos" w:hAnsi="Aptos"/>
                <w:b/>
                <w:color w:val="FFFFFF"/>
                <w:sz w:val="17"/>
              </w:rPr>
              <w:t>ID</w:t>
            </w:r>
          </w:p>
        </w:tc>
        <w:tc>
          <w:tcPr>
            <w:tcW w:type="dxa" w:w="979"/>
            <w:shd w:fill="1F4E78"/>
            <w:tcMar>
              <w:top w:w="85" w:type="dxa"/>
              <w:start w:w="110" w:type="dxa"/>
              <w:bottom w:w="85" w:type="dxa"/>
              <w:end w:w="110" w:type="dxa"/>
            </w:tcMar>
            <w:vAlign w:val="center"/>
          </w:tcPr>
          <w:p>
            <w:pPr>
              <w:jc w:val="center"/>
            </w:pPr>
            <w:r>
              <w:rPr>
                <w:rFonts w:ascii="Aptos" w:hAnsi="Aptos"/>
                <w:b/>
                <w:color w:val="FFFFFF"/>
                <w:sz w:val="17"/>
              </w:rPr>
              <w:t>Priority</w:t>
            </w:r>
          </w:p>
        </w:tc>
        <w:tc>
          <w:tcPr>
            <w:tcW w:type="dxa" w:w="8136"/>
            <w:shd w:fill="1F4E78"/>
            <w:tcMar>
              <w:top w:w="85" w:type="dxa"/>
              <w:start w:w="110" w:type="dxa"/>
              <w:bottom w:w="85" w:type="dxa"/>
              <w:end w:w="110" w:type="dxa"/>
            </w:tcMar>
            <w:vAlign w:val="center"/>
          </w:tcPr>
          <w:p>
            <w:pPr>
              <w:jc w:val="left"/>
            </w:pPr>
            <w:r>
              <w:rPr>
                <w:rFonts w:ascii="Aptos" w:hAnsi="Aptos"/>
                <w:b/>
                <w:color w:val="FFFFFF"/>
                <w:sz w:val="17"/>
              </w:rPr>
              <w:t>Security Requirement</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AST-SEC-REQ-37</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AI predictions shall not automatically change asset or work-order state.</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AST-SEC-REQ-38</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AI-generated maintenance recommendations shall require human confirmation before action.</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AST-SEC-REQ-39</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AI model/version information and prediction events shall be logged.</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AST-SEC-REQ-40</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A deterministic non-AI fallback shall remain available if the prediction service is unavailable.</w:t>
            </w:r>
          </w:p>
        </w:tc>
      </w:tr>
      <w:tr>
        <w:tc>
          <w:tcPr>
            <w:tcW w:type="dxa" w:w="1699"/>
            <w:tcMar>
              <w:top w:w="85" w:type="dxa"/>
              <w:start w:w="110" w:type="dxa"/>
              <w:bottom w:w="85" w:type="dxa"/>
              <w:end w:w="110" w:type="dxa"/>
            </w:tcMar>
            <w:vAlign w:val="center"/>
          </w:tcPr>
          <w:p>
            <w:pPr>
              <w:spacing w:after="0" w:line="247" w:lineRule="auto"/>
              <w:jc w:val="left"/>
            </w:pPr>
            <w:r>
              <w:rPr>
                <w:rFonts w:ascii="Aptos" w:hAnsi="Aptos"/>
                <w:b/>
                <w:sz w:val="17"/>
              </w:rPr>
              <w:t>AST-SEC-REQ-52</w:t>
            </w:r>
          </w:p>
        </w:tc>
        <w:tc>
          <w:tcPr>
            <w:tcW w:type="dxa" w:w="979"/>
            <w:tcMar>
              <w:top w:w="85" w:type="dxa"/>
              <w:start w:w="110" w:type="dxa"/>
              <w:bottom w:w="85" w:type="dxa"/>
              <w:end w:w="110" w:type="dxa"/>
            </w:tcMar>
            <w:vAlign w:val="center"/>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tcPr>
          <w:p>
            <w:pPr>
              <w:spacing w:after="0" w:line="247" w:lineRule="auto"/>
              <w:jc w:val="left"/>
            </w:pPr>
            <w:r>
              <w:rPr>
                <w:rFonts w:ascii="Aptos" w:hAnsi="Aptos"/>
                <w:b w:val="0"/>
                <w:sz w:val="17"/>
              </w:rPr>
              <w:t>Only authorized roles shall view or act on risk predictions, and review decisions shall record the reviewer and timestamp.</w:t>
            </w:r>
          </w:p>
        </w:tc>
      </w:tr>
      <w:tr>
        <w:tc>
          <w:tcPr>
            <w:tcW w:type="dxa" w:w="1699"/>
            <w:tcMar>
              <w:top w:w="85" w:type="dxa"/>
              <w:start w:w="110" w:type="dxa"/>
              <w:bottom w:w="85" w:type="dxa"/>
              <w:end w:w="110" w:type="dxa"/>
            </w:tcMar>
            <w:vAlign w:val="center"/>
            <w:shd w:fill="F4F8FB"/>
          </w:tcPr>
          <w:p>
            <w:pPr>
              <w:spacing w:after="0" w:line="247" w:lineRule="auto"/>
              <w:jc w:val="left"/>
            </w:pPr>
            <w:r>
              <w:rPr>
                <w:rFonts w:ascii="Aptos" w:hAnsi="Aptos"/>
                <w:b/>
                <w:sz w:val="17"/>
              </w:rPr>
              <w:t>AST-SEC-REQ-53</w:t>
            </w:r>
          </w:p>
        </w:tc>
        <w:tc>
          <w:tcPr>
            <w:tcW w:type="dxa" w:w="979"/>
            <w:tcMar>
              <w:top w:w="85" w:type="dxa"/>
              <w:start w:w="110" w:type="dxa"/>
              <w:bottom w:w="85" w:type="dxa"/>
              <w:end w:w="110" w:type="dxa"/>
            </w:tcMar>
            <w:vAlign w:val="center"/>
            <w:shd w:fill="F4F8FB"/>
          </w:tcPr>
          <w:p>
            <w:pPr>
              <w:spacing w:after="0" w:line="247" w:lineRule="auto"/>
              <w:jc w:val="center"/>
            </w:pPr>
            <w:r>
              <w:rPr>
                <w:rFonts w:ascii="Aptos" w:hAnsi="Aptos"/>
                <w:b w:val="0"/>
                <w:sz w:val="17"/>
              </w:rPr>
              <w:t>Must</w:t>
            </w:r>
          </w:p>
        </w:tc>
        <w:tc>
          <w:tcPr>
            <w:tcW w:type="dxa" w:w="8136"/>
            <w:tcMar>
              <w:top w:w="85" w:type="dxa"/>
              <w:start w:w="110" w:type="dxa"/>
              <w:bottom w:w="85" w:type="dxa"/>
              <w:end w:w="110" w:type="dxa"/>
            </w:tcMar>
            <w:vAlign w:val="center"/>
            <w:shd w:fill="F4F8FB"/>
          </w:tcPr>
          <w:p>
            <w:pPr>
              <w:spacing w:after="0" w:line="247" w:lineRule="auto"/>
              <w:jc w:val="left"/>
            </w:pPr>
            <w:r>
              <w:rPr>
                <w:rFonts w:ascii="Aptos" w:hAnsi="Aptos"/>
                <w:b w:val="0"/>
                <w:sz w:val="17"/>
              </w:rPr>
              <w:t>Prediction inputs shall be validated, access-controlled, and traceable to reduce manipulation of maintenance-risk results.</w:t>
            </w:r>
          </w:p>
        </w:tc>
      </w:tr>
    </w:tbl>
    <w:p>
      <w:pPr>
        <w:spacing w:after="40"/>
      </w:pPr>
    </w:p>
    <w:p>
      <w:pPr>
        <w:pStyle w:val="Heading1"/>
        <w:spacing w:before="220" w:after="80"/>
      </w:pPr>
      <w:r>
        <w:rPr>
          <w:rFonts w:ascii="Aptos" w:hAnsi="Aptos"/>
          <w:b/>
          <w:sz w:val="28"/>
        </w:rPr>
        <w:t>Security Acceptance Criteria</w:t>
      </w:r>
    </w:p>
    <w:p>
      <w:pPr>
        <w:pStyle w:val="ListBullet"/>
        <w:spacing w:after="60"/>
      </w:pPr>
      <w:r>
        <w:rPr>
          <w:rFonts w:ascii="Aptos" w:hAnsi="Aptos"/>
          <w:b w:val="0"/>
          <w:sz w:val="20"/>
        </w:rPr>
        <w:t>Protected operations require authentication and reject expired or revoked credentials.</w:t>
      </w:r>
    </w:p>
    <w:p>
      <w:pPr>
        <w:pStyle w:val="ListBullet"/>
        <w:spacing w:after="60"/>
      </w:pPr>
      <w:r>
        <w:rPr>
          <w:rFonts w:ascii="Aptos" w:hAnsi="Aptos"/>
          <w:b w:val="0"/>
          <w:sz w:val="20"/>
        </w:rPr>
        <w:t>Backend authorization and organizational scope prevent vertical and horizontal privilege escalation.</w:t>
      </w:r>
    </w:p>
    <w:p>
      <w:pPr>
        <w:pStyle w:val="ListBullet"/>
        <w:spacing w:after="60"/>
      </w:pPr>
      <w:r>
        <w:rPr>
          <w:rFonts w:ascii="Aptos" w:hAnsi="Aptos"/>
          <w:b w:val="0"/>
          <w:sz w:val="20"/>
        </w:rPr>
        <w:t>A requester cannot approve their own sensitive workflow or permission grant.</w:t>
      </w:r>
    </w:p>
    <w:p>
      <w:pPr>
        <w:pStyle w:val="ListBullet"/>
        <w:spacing w:after="60"/>
      </w:pPr>
      <w:r>
        <w:rPr>
          <w:rFonts w:ascii="Aptos" w:hAnsi="Aptos"/>
          <w:b w:val="0"/>
          <w:sz w:val="20"/>
        </w:rPr>
        <w:t>Protected files remain private, malware-scanned, and unavailable without authorized short-lived access.</w:t>
      </w:r>
    </w:p>
    <w:p>
      <w:pPr>
        <w:pStyle w:val="ListBullet"/>
        <w:spacing w:after="60"/>
      </w:pPr>
      <w:r>
        <w:rPr>
          <w:rFonts w:ascii="Aptos" w:hAnsi="Aptos"/>
          <w:b w:val="0"/>
          <w:sz w:val="20"/>
        </w:rPr>
        <w:t>Critical business, export, prediction, and security events remain auditable without leaking secrets.</w:t>
      </w:r>
    </w:p>
    <w:p>
      <w:pPr>
        <w:pStyle w:val="ListBullet"/>
        <w:spacing w:after="60"/>
      </w:pPr>
      <w:r>
        <w:rPr>
          <w:rFonts w:ascii="Aptos" w:hAnsi="Aptos"/>
          <w:b w:val="0"/>
          <w:sz w:val="20"/>
        </w:rPr>
        <w:t>API and import endpoints resist injection, IDOR, XSS, mass assignment, brute force, and unsafe file attacks.</w:t>
      </w:r>
    </w:p>
    <w:p>
      <w:pPr>
        <w:pStyle w:val="ListBullet"/>
        <w:spacing w:after="60"/>
      </w:pPr>
      <w:r>
        <w:rPr>
          <w:rFonts w:ascii="Aptos" w:hAnsi="Aptos"/>
          <w:b w:val="0"/>
          <w:sz w:val="20"/>
        </w:rPr>
        <w:t>Risk predictions require human confirmation and have a traceable fallback.</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7"/>
      </w:rPr>
      <w:t>Security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