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widowControl/>
        <w:suppressLineNumbers w:val="0"/>
        <w:bidi w:val="0"/>
        <w:spacing w:before="0" w:after="100"/>
        <w:ind w:hanging="0" w:start="0"/>
        <w:rPr/>
      </w:pPr>
      <w:r>
        <w:rPr/>
        <w:t>Authentication and Authorization Model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The system uses authentication to verify the identity of users and authorization to control what authenticated users are allowed to access or perform.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Authorization decisions are based on the user's assigned role and organizational scope. All authorization checks are enforced on the backend and must not depend only on Flutter UI restrictions.</w:t>
      </w:r>
    </w:p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1. Authentication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All users must authenticate before accessing protected system resources.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The authentication mechanism shall: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Verify user credentials before issuing an authenticated session.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Use secure password hashing for stored passwords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Use access tokens for authenticated API requests.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Reject invalid or expired tokens.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Support token/session revocation where required.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Prevent passwords, tokens, and other authentication secrets from being stored in application logs.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Ensure protected APIs cannot be accessed without valid authentication.</w:t>
      </w:r>
    </w:p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2. Authorization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After successful authentication, the backend determines whether the user is authorized to perform the requested action.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Authorization is based on: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>
          <w:rStyle w:val="Strong"/>
        </w:rPr>
        <w:t>User → Role → Permission → Organizational Scope → Resource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A user must satisfy both the required permission and the applicable organizational scope before access is granted.</w:t>
      </w:r>
    </w:p>
    <w:p>
      <w:pPr>
        <w:pStyle w:val="Heading3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Asset Administrator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Responsible for asset registry and asset lifecycle operations.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Authorized to: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Manage locations and asset categories.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Create and update assets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Import assets.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Transfer assets.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Manage custody assignments.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Retire assets through the approved workflow.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View procurement references.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View maintenance and service history.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The role does not automatically grant permission to modify invoices or financial records.</w:t>
      </w:r>
    </w:p>
    <w:p>
      <w:pPr>
        <w:pStyle w:val="Heading3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Procurement / Finance Viewer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Responsible for procurement and financial information.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Authorized to: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View asset information.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Create and update suppliers.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Create and update purchase orders.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Create and update invoice/receipt metadata.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Manage warranty information.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View asset cost and financial references.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Not authorized to: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Transfer assets.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Change asset custody.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Modify general asset information.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Modify maintenance records.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Retire assets</w:t>
      </w:r>
    </w:p>
    <w:p>
      <w:pPr>
        <w:pStyle w:val="Heading3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Custodian / Department Manager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Responsible for assets within the user's organizational scope.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Authorized to: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View assets within the assigned scope.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View relevant asset information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Confirm asset assignment/custody.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Report or update asset condition.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View maintenance status.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Not authorized to: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Access invoices or sensitive financial information.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Modify suppliers or purchase orders.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Retire assets.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Access assets outside the assigned organizational scope.</w:t>
      </w:r>
    </w:p>
    <w:p>
      <w:pPr>
        <w:pStyle w:val="Heading3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Maintenance Technician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Responsible for maintenance operations.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Authorized to: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View assets required for maintenance.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View work orders.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Update assigned work orders.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Record service activities.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Record parts used.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Record downtime.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Record service outcomes.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Complete work orders.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Not authorized to: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Access invoices or unrelated financial information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Modify general asset registry information.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Transfer assets.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Retire assets.</w:t>
      </w:r>
    </w:p>
    <w:p>
      <w:pPr>
        <w:pStyle w:val="Heading3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Auditor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The Auditor is a read-only role.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Authorized to: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Read asset inventory.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Read financial references according to assigned scope.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Read custody and transfer history.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Read maintenance history.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Read exceptions.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Read audit logs.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The Auditor cannot create, update, transfer, retire, or otherwise modify business records.</w:t>
      </w:r>
    </w:p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3. Organizational Scope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Authorization is also restricted by organizational scope.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The organizational hierarchy is: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>
          <w:rStyle w:val="Strong"/>
        </w:rPr>
        <w:t>Campus → Building → College/Department → Floor → Room/Office/Storage Area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A user can access resources only within the organizational scope assigned to that user.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For example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A Custodian assigned to Department A can access authorized assets belonging to Department A.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The same user cannot access assets belonging to an unrelated Department B.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Access to child locations is permitted when covered by the user's assigned parent scope.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Users cannot modify their own organizational scope.</w:t>
      </w:r>
    </w:p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4. Backend Authorization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Authorization must be enforced by the backend API.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 xml:space="preserve">Flutter is responsible for the user interface and sending authenticated requests, but it is </w:t>
      </w:r>
      <w:r>
        <w:rPr>
          <w:rStyle w:val="Strong"/>
        </w:rPr>
        <w:t>not a security boundary</w:t>
      </w:r>
      <w:r>
        <w:rPr/>
        <w:t>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The backend must independently verify: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The user is authenticated.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The user's role has the required permission.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The requested resource belongs to the user's authorized organizational scope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The requested action is permitted for that resource.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 xml:space="preserve">Unauthorized requests must be rejected, normally with </w:t>
      </w:r>
      <w:r>
        <w:rPr>
          <w:rStyle w:val="Strong"/>
        </w:rPr>
        <w:t>403 Forbidden</w:t>
      </w:r>
      <w:r>
        <w:rPr/>
        <w:t xml:space="preserve"> when the user is authenticated but lacks permission.</w:t>
      </w:r>
    </w:p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5. Authorization Principle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The system follows the principle: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720"/>
        <w:rPr>
          <w:rStyle w:val="Strong"/>
        </w:rPr>
      </w:pPr>
      <w:r>
        <w:rPr>
          <w:rStyle w:val="Strong"/>
        </w:rPr>
        <w:t>Authentication determines who the user is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720"/>
        <w:rPr/>
      </w:pPr>
      <w:r>
        <w:rPr>
          <w:rStyle w:val="Strong"/>
          <w:lang w:val="en-US"/>
        </w:rPr>
        <w:t>A</w:t>
      </w:r>
      <w:r>
        <w:rPr>
          <w:rStyle w:val="Strong"/>
        </w:rPr>
        <w:t>uthorization determines what the user can do and organizational scope determines where they can do it.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6. Token Lifecycle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The system uses JWT-based access tokens and server-side refresh tokens. The following lifecycle parameters apply: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/>
      </w:tblPr>
      <w:tblGrid>
        <w:gridCol w:w="4320"/>
        <w:gridCol w:w="4320"/>
      </w:tblGrid>
      <w:tr>
        <w:tc>
          <w:tcPr>
            <w:tcW w:w="4320" w:type="dxa"/>
            <w:shd w:val="clear" w:color="auto" w:fill="4F81BD"/>
          </w:tcPr>
          <w:p>
            <w:pPr>
              <w:pStyle w:val="NormalWeb"/>
              <w:rPr>
                <w:rStyle w:val="Strong"/>
                <w:color w:val="FFFFFF"/>
              </w:rPr>
            </w:pPr>
            <w:r>
              <w:rPr>
                <w:rStyle w:val="Strong"/>
                <w:color w:val="FFFFFF"/>
              </w:rPr>
              <w:t>Token Parameter</w:t>
            </w:r>
          </w:p>
        </w:tc>
        <w:tc>
          <w:tcPr>
            <w:tcW w:w="4320" w:type="dxa"/>
            <w:shd w:val="clear" w:color="auto" w:fill="4F81BD"/>
          </w:tcPr>
          <w:p>
            <w:pPr>
              <w:pStyle w:val="NormalWeb"/>
              <w:rPr>
                <w:rStyle w:val="Strong"/>
                <w:color w:val="FFFFFF"/>
              </w:rPr>
            </w:pPr>
            <w:r>
              <w:rPr>
                <w:rStyle w:val="Strong"/>
                <w:color w:val="FFFFFF"/>
              </w:rPr>
              <w:t>Value / Behaviour</w:t>
            </w:r>
          </w:p>
        </w:tc>
      </w:tr>
      <w:tr>
        <w:tc>
          <w:tcPr>
            <w:tcW w:w="4320" w:type="dxa"/>
          </w:tcPr>
          <w:p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Access Token Type</w:t>
            </w:r>
          </w:p>
        </w:tc>
        <w:tc>
          <w:tcPr>
            <w:tcW w:w="4320" w:type="dxa"/>
          </w:tcPr>
          <w:p>
            <w:pPr>
              <w:pStyle w:val="NormalWeb"/>
            </w:pPr>
            <w:r>
              <w:rPr/>
              <w:t>JWT (signed, stateless)</w:t>
            </w:r>
          </w:p>
        </w:tc>
      </w:tr>
      <w:tr>
        <w:tc>
          <w:tcPr>
            <w:tcW w:w="4320" w:type="dxa"/>
          </w:tcPr>
          <w:p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Access Token TTL</w:t>
            </w:r>
          </w:p>
        </w:tc>
        <w:tc>
          <w:tcPr>
            <w:tcW w:w="4320" w:type="dxa"/>
          </w:tcPr>
          <w:p>
            <w:pPr>
              <w:pStyle w:val="NormalWeb"/>
            </w:pPr>
            <w:r>
              <w:rPr/>
              <w:t>15 minutes</w:t>
            </w:r>
          </w:p>
        </w:tc>
      </w:tr>
      <w:tr>
        <w:tc>
          <w:tcPr>
            <w:tcW w:w="4320" w:type="dxa"/>
          </w:tcPr>
          <w:p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Refresh Token TTL</w:t>
            </w:r>
          </w:p>
        </w:tc>
        <w:tc>
          <w:tcPr>
            <w:tcW w:w="4320" w:type="dxa"/>
          </w:tcPr>
          <w:p>
            <w:pPr>
              <w:pStyle w:val="NormalWeb"/>
            </w:pPr>
            <w:r>
              <w:rPr/>
              <w:t>7 days (rotated on each use)</w:t>
            </w:r>
          </w:p>
        </w:tc>
      </w:tr>
      <w:tr>
        <w:tc>
          <w:tcPr>
            <w:tcW w:w="4320" w:type="dxa"/>
          </w:tcPr>
          <w:p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Refresh Token Storage</w:t>
            </w:r>
          </w:p>
        </w:tc>
        <w:tc>
          <w:tcPr>
            <w:tcW w:w="4320" w:type="dxa"/>
          </w:tcPr>
          <w:p>
            <w:pPr>
              <w:pStyle w:val="NormalWeb"/>
            </w:pPr>
            <w:r>
              <w:rPr/>
              <w:t>Stored server-side (DB or Redis) for revocation support — not purely stateless</w:t>
            </w:r>
          </w:p>
        </w:tc>
      </w:tr>
      <w:tr>
        <w:tc>
          <w:tcPr>
            <w:tcW w:w="4320" w:type="dxa"/>
          </w:tcPr>
          <w:p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Revocation</w:t>
            </w:r>
          </w:p>
        </w:tc>
        <w:tc>
          <w:tcPr>
            <w:tcW w:w="4320" w:type="dxa"/>
          </w:tcPr>
          <w:p>
            <w:pPr>
              <w:pStyle w:val="NormalWeb"/>
            </w:pPr>
            <w:r>
              <w:rPr/>
              <w:t>revoked_tokens table or is_revoked flag; checked on refresh and sensitive operations</w:t>
            </w:r>
          </w:p>
        </w:tc>
      </w:tr>
      <w:tr>
        <w:tc>
          <w:tcPr>
            <w:tcW w:w="4320" w:type="dxa"/>
          </w:tcPr>
          <w:p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Token Payload (claims)</w:t>
            </w:r>
          </w:p>
        </w:tc>
        <w:tc>
          <w:tcPr>
            <w:tcW w:w="4320" w:type="dxa"/>
          </w:tcPr>
          <w:p>
            <w:pPr>
              <w:pStyle w:val="NormalWeb"/>
            </w:pPr>
            <w:r>
              <w:rPr/>
              <w:t>sub (user_id), roles[], scope_location_ids[], iat, exp</w:t>
            </w:r>
          </w:p>
        </w:tc>
      </w:tr>
      <w:tr>
        <w:tc>
          <w:tcPr>
            <w:tcW w:w="4320" w:type="dxa"/>
          </w:tcPr>
          <w:p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Token in Logs</w:t>
            </w:r>
          </w:p>
        </w:tc>
        <w:tc>
          <w:tcPr>
            <w:tcW w:w="4320" w:type="dxa"/>
          </w:tcPr>
          <w:p>
            <w:pPr>
              <w:pStyle w:val="NormalWeb"/>
            </w:pPr>
            <w:r>
              <w:rPr/>
              <w:t>Prohibited — AST-SEC-REQ-04, AST-SEC-REQ-31</w:t>
            </w:r>
          </w:p>
        </w:tc>
      </w:tr>
      <w:tr>
        <w:tc>
          <w:tcPr>
            <w:tcW w:w="4320" w:type="dxa"/>
          </w:tcPr>
          <w:p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Client Storage</w:t>
            </w:r>
          </w:p>
        </w:tc>
        <w:tc>
          <w:tcPr>
            <w:tcW w:w="4320" w:type="dxa"/>
          </w:tcPr>
          <w:p>
            <w:pPr>
              <w:pStyle w:val="NormalWeb"/>
            </w:pPr>
            <w:r>
              <w:rPr/>
              <w:t>Flutter: flutter_secure_storage only — not SharedPreferences or insecure storage</w:t>
            </w:r>
          </w:p>
        </w:tc>
      </w:tr>
      <w:tr>
        <w:tc>
          <w:tcPr>
            <w:tcW w:w="4320" w:type="dxa"/>
          </w:tcPr>
          <w:p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Expired Token Response</w:t>
            </w:r>
          </w:p>
        </w:tc>
        <w:tc>
          <w:tcPr>
            <w:tcW w:w="4320" w:type="dxa"/>
          </w:tcPr>
          <w:p>
            <w:pPr>
              <w:pStyle w:val="NormalWeb"/>
            </w:pPr>
            <w:r>
              <w:rPr/>
              <w:t>401 Unauthorized with code: TOKEN_EXPIRED</w:t>
            </w:r>
          </w:p>
        </w:tc>
      </w:tr>
      <w:tr>
        <w:tc>
          <w:tcPr>
            <w:tcW w:w="4320" w:type="dxa"/>
          </w:tcPr>
          <w:p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Revoked Token Response</w:t>
            </w:r>
          </w:p>
        </w:tc>
        <w:tc>
          <w:tcPr>
            <w:tcW w:w="4320" w:type="dxa"/>
          </w:tcPr>
          <w:p>
            <w:pPr>
              <w:pStyle w:val="NormalWeb"/>
            </w:pPr>
            <w:r>
              <w:rPr/>
              <w:t>401 Unauthorized with code: TOKEN_REVOKED</w:t>
            </w:r>
          </w:p>
        </w:tc>
      </w:tr>
    </w:tbl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7. Client-Side Token Storage Prohibition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Tokens must not be stored in insecure client storage. The Flutter mobile application must comply with the following: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Access tokens and refresh tokens shall be stored exclusively in flutter_secure_storage.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Tokens shall not be stored in SharedPreferences, local files, or any other unencrypted storage.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Tokens shall be cleared from storage on logout or session revocation.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Token values shall never appear in application logs or crash reports.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SimSun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等线;Microsoft YaHei" w:cs="Times New Roman"/>
      <w:color w:val="auto"/>
      <w:sz w:val="20"/>
      <w:szCs w:val="20"/>
      <w:lang w:val="en-US" w:eastAsia="zh-CN" w:bidi="ar-SA"/>
    </w:rPr>
  </w:style>
  <w:style w:type="paragraph" w:styleId="Heading1">
    <w:name w:val="Heading 1"/>
    <w:next w:val="Normal"/>
    <w:qFormat/>
    <w:pPr>
      <w:widowControl/>
      <w:numPr>
        <w:ilvl w:val="0"/>
        <w:numId w:val="1"/>
      </w:numPr>
      <w:bidi w:val="0"/>
      <w:spacing w:before="100" w:after="100"/>
      <w:jc w:val="start"/>
      <w:outlineLvl w:val="0"/>
    </w:pPr>
    <w:rPr>
      <w:rFonts w:ascii="SimSun" w:hAnsi="SimSun" w:eastAsia="SimSun" w:cs="SimSun"/>
      <w:b/>
      <w:bCs/>
      <w:color w:val="auto"/>
      <w:kern w:val="2"/>
      <w:sz w:val="48"/>
      <w:szCs w:val="48"/>
      <w:lang w:val="en-US" w:eastAsia="zh-CN" w:bidi="ar"/>
    </w:rPr>
  </w:style>
  <w:style w:type="paragraph" w:styleId="Heading2">
    <w:name w:val="Heading 2"/>
    <w:next w:val="Normal"/>
    <w:qFormat/>
    <w:pPr>
      <w:widowControl/>
      <w:numPr>
        <w:ilvl w:val="1"/>
        <w:numId w:val="1"/>
      </w:numPr>
      <w:bidi w:val="0"/>
      <w:spacing w:before="100" w:after="100"/>
      <w:jc w:val="start"/>
      <w:outlineLvl w:val="1"/>
    </w:pPr>
    <w:rPr>
      <w:rFonts w:ascii="SimSun" w:hAnsi="SimSun" w:eastAsia="SimSun" w:cs="SimSun"/>
      <w:b/>
      <w:bCs/>
      <w:color w:val="auto"/>
      <w:kern w:val="0"/>
      <w:sz w:val="36"/>
      <w:szCs w:val="36"/>
      <w:lang w:val="en-US" w:eastAsia="zh-CN" w:bidi="ar"/>
    </w:rPr>
  </w:style>
  <w:style w:type="paragraph" w:styleId="Heading3">
    <w:name w:val="Heading 3"/>
    <w:next w:val="Normal"/>
    <w:qFormat/>
    <w:pPr>
      <w:widowControl/>
      <w:numPr>
        <w:ilvl w:val="2"/>
        <w:numId w:val="1"/>
      </w:numPr>
      <w:bidi w:val="0"/>
      <w:spacing w:before="100" w:after="100"/>
      <w:jc w:val="start"/>
      <w:outlineLvl w:val="2"/>
    </w:pPr>
    <w:rPr>
      <w:rFonts w:ascii="SimSun" w:hAnsi="SimSun" w:eastAsia="SimSun" w:cs="SimSun"/>
      <w:b/>
      <w:bCs/>
      <w:color w:val="auto"/>
      <w:kern w:val="0"/>
      <w:sz w:val="27"/>
      <w:szCs w:val="27"/>
      <w:lang w:val="en-US" w:eastAsia="zh-CN" w:bidi="ar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/>
    <w:rPr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9900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2026-09-20T07:16:01Z</dcterms:created>
  <dc:creator>sh</dc:creator>
  <dc:description/>
  <dc:language>en-US</dc:language>
  <cp:lastModifiedBy>Mostafa Mohamed</cp:lastModifiedBy>
  <dcterms:modified xsi:type="dcterms:W3CDTF">2026-09-20T11:35:30Z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DC390D0F84544DCBA519F01E414AB359_12</vt:lpwstr>
  </property>
  <property fmtid="{D5CDD505-2E9C-101B-9397-08002B2CF9AE}" pid="3" name="KSOProductBuildVer">
    <vt:lpwstr>1033-12.1.0.28485</vt:lpwstr>
  </property>
  <property fmtid="{D5CDD505-2E9C-101B-9397-08002B2CF9AE}" pid="4" name="KSOTemplateDocerSaveRecord">
    <vt:lpwstr>eyJoZGlkIjoiNGM5ODU5N2ZkZDc4NDljMjUzOGY4OWNhYjNkMTE0YWEiLCJ1c2VySWQiOiIxNDQzMTA5NjczMzk5MCJ9</vt:lpwstr>
  </property>
</Properties>
</file>