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6F08D">
      <w:pPr>
        <w:pStyle w:val="36"/>
        <w:spacing w:after="60"/>
      </w:pPr>
      <w:r>
        <w:rPr>
          <w:rFonts w:ascii="Aptos" w:hAnsi="Aptos"/>
          <w:b/>
          <w:sz w:val="44"/>
        </w:rPr>
        <w:t>Threat Model</w:t>
      </w:r>
    </w:p>
    <w:p w14:paraId="19006658">
      <w:pPr>
        <w:spacing w:after="300"/>
      </w:pPr>
      <w:r>
        <w:rPr>
          <w:rFonts w:ascii="Aptos" w:hAnsi="Aptos"/>
          <w:b w:val="0"/>
          <w:color w:val="505050"/>
          <w:sz w:val="23"/>
        </w:rPr>
        <w:t>Smart Asset Inventory and Predictive Maintenance  Revised</w:t>
      </w:r>
    </w:p>
    <w:p w14:paraId="63E17E46">
      <w:pPr>
        <w:pStyle w:val="2"/>
        <w:spacing w:before="220" w:after="80"/>
      </w:pPr>
      <w:r>
        <w:rPr>
          <w:rFonts w:ascii="Aptos" w:hAnsi="Aptos"/>
          <w:b/>
          <w:sz w:val="28"/>
        </w:rPr>
        <w:t>1 Purpose and Scope</w:t>
      </w:r>
    </w:p>
    <w:p w14:paraId="72A36469">
      <w:pPr>
        <w:spacing w:after="120" w:line="264" w:lineRule="auto"/>
      </w:pPr>
      <w:r>
        <w:rPr>
          <w:rFonts w:ascii="Aptos" w:hAnsi="Aptos"/>
          <w:b w:val="0"/>
          <w:sz w:val="21"/>
        </w:rPr>
        <w:t>This threat model identifies security threats to the Smart Asset Inventory and Predictive Maintenance system and links them to controls and security requirements. It covers the React client, backend API, PostgreSQL database, private object storage, scheduled jobs, import process, and optional AI prediction service.</w:t>
      </w:r>
    </w:p>
    <w:p w14:paraId="566CD4FD">
      <w:pPr>
        <w:pStyle w:val="2"/>
        <w:spacing w:before="220" w:after="80"/>
      </w:pPr>
      <w:r>
        <w:rPr>
          <w:rFonts w:ascii="Aptos" w:hAnsi="Aptos"/>
          <w:b/>
          <w:sz w:val="28"/>
        </w:rPr>
        <w:t>2 System Assets and Trust Boundaries</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5112"/>
        <w:gridCol w:w="5112"/>
      </w:tblGrid>
      <w:tr w14:paraId="71F0E7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3024" w:type="dxa"/>
            <w:shd w:val="clear" w:color="auto" w:fill="1F4E78"/>
            <w:tcMar>
              <w:top w:w="85" w:type="dxa"/>
              <w:left w:w="110" w:type="dxa"/>
              <w:bottom w:w="85" w:type="dxa"/>
              <w:right w:w="110" w:type="dxa"/>
            </w:tcMar>
            <w:vAlign w:val="center"/>
          </w:tcPr>
          <w:p w14:paraId="62FD99CF">
            <w:pPr>
              <w:jc w:val="center"/>
            </w:pPr>
            <w:r>
              <w:rPr>
                <w:rFonts w:ascii="Aptos" w:hAnsi="Aptos"/>
                <w:b/>
                <w:color w:val="FFFFFF"/>
                <w:sz w:val="18"/>
              </w:rPr>
              <w:t>Boundary or asset</w:t>
            </w:r>
          </w:p>
        </w:tc>
        <w:tc>
          <w:tcPr>
            <w:tcW w:w="7776" w:type="dxa"/>
            <w:shd w:val="clear" w:color="auto" w:fill="1F4E78"/>
            <w:tcMar>
              <w:top w:w="85" w:type="dxa"/>
              <w:left w:w="110" w:type="dxa"/>
              <w:bottom w:w="85" w:type="dxa"/>
              <w:right w:w="110" w:type="dxa"/>
            </w:tcMar>
            <w:vAlign w:val="center"/>
          </w:tcPr>
          <w:p w14:paraId="1E481A28">
            <w:pPr>
              <w:jc w:val="center"/>
            </w:pPr>
            <w:r>
              <w:rPr>
                <w:rFonts w:ascii="Aptos" w:hAnsi="Aptos"/>
                <w:b/>
                <w:color w:val="FFFFFF"/>
                <w:sz w:val="18"/>
              </w:rPr>
              <w:t>Security concern</w:t>
            </w:r>
          </w:p>
        </w:tc>
      </w:tr>
      <w:tr w14:paraId="782852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85" w:type="dxa"/>
              <w:left w:w="110" w:type="dxa"/>
              <w:bottom w:w="85" w:type="dxa"/>
              <w:right w:w="110" w:type="dxa"/>
            </w:tcMar>
            <w:vAlign w:val="center"/>
          </w:tcPr>
          <w:p w14:paraId="5DECD39F">
            <w:pPr>
              <w:spacing w:after="0" w:line="247" w:lineRule="auto"/>
              <w:jc w:val="left"/>
            </w:pPr>
            <w:r>
              <w:rPr>
                <w:rFonts w:hint="default"/>
                <w:b/>
                <w:sz w:val="18"/>
                <w:lang w:val="en-US"/>
              </w:rPr>
              <w:t>Application</w:t>
            </w:r>
            <w:r>
              <w:rPr>
                <w:rFonts w:ascii="Aptos" w:hAnsi="Aptos"/>
                <w:b/>
                <w:sz w:val="18"/>
              </w:rPr>
              <w:t>r and API boundary</w:t>
            </w:r>
          </w:p>
        </w:tc>
        <w:tc>
          <w:tcPr>
            <w:tcW w:w="7776" w:type="dxa"/>
            <w:tcMar>
              <w:top w:w="85" w:type="dxa"/>
              <w:left w:w="110" w:type="dxa"/>
              <w:bottom w:w="85" w:type="dxa"/>
              <w:right w:w="110" w:type="dxa"/>
            </w:tcMar>
            <w:vAlign w:val="center"/>
          </w:tcPr>
          <w:p w14:paraId="75FFC448">
            <w:pPr>
              <w:spacing w:after="0" w:line="247" w:lineRule="auto"/>
              <w:jc w:val="center"/>
            </w:pPr>
            <w:r>
              <w:rPr>
                <w:rFonts w:ascii="Aptos" w:hAnsi="Aptos"/>
                <w:b w:val="0"/>
                <w:sz w:val="18"/>
              </w:rPr>
              <w:t>Authentication, TLS, CORS, CSRF where applicable, input validation, rate limits, and error handling.</w:t>
            </w:r>
          </w:p>
        </w:tc>
      </w:tr>
      <w:tr w14:paraId="78B0F0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4F8FB"/>
            <w:tcMar>
              <w:top w:w="85" w:type="dxa"/>
              <w:left w:w="110" w:type="dxa"/>
              <w:bottom w:w="85" w:type="dxa"/>
              <w:right w:w="110" w:type="dxa"/>
            </w:tcMar>
            <w:vAlign w:val="center"/>
          </w:tcPr>
          <w:p w14:paraId="15E0945D">
            <w:pPr>
              <w:spacing w:after="0" w:line="247" w:lineRule="auto"/>
              <w:jc w:val="left"/>
            </w:pPr>
            <w:r>
              <w:rPr>
                <w:rFonts w:ascii="Aptos" w:hAnsi="Aptos"/>
                <w:b/>
                <w:sz w:val="18"/>
              </w:rPr>
              <w:t>Authorization boundary</w:t>
            </w:r>
          </w:p>
        </w:tc>
        <w:tc>
          <w:tcPr>
            <w:tcW w:w="7776" w:type="dxa"/>
            <w:shd w:val="clear" w:color="auto" w:fill="F4F8FB"/>
            <w:tcMar>
              <w:top w:w="85" w:type="dxa"/>
              <w:left w:w="110" w:type="dxa"/>
              <w:bottom w:w="85" w:type="dxa"/>
              <w:right w:w="110" w:type="dxa"/>
            </w:tcMar>
            <w:vAlign w:val="center"/>
          </w:tcPr>
          <w:p w14:paraId="573803FA">
            <w:pPr>
              <w:spacing w:after="0" w:line="247" w:lineRule="auto"/>
              <w:jc w:val="center"/>
            </w:pPr>
            <w:r>
              <w:rPr>
                <w:rFonts w:ascii="Aptos" w:hAnsi="Aptos"/>
                <w:b w:val="0"/>
                <w:sz w:val="18"/>
              </w:rPr>
              <w:t>RBAC, organizational scope, object-level checks, and separation of duties for transfers, retirement, and permission grants.</w:t>
            </w:r>
          </w:p>
        </w:tc>
      </w:tr>
      <w:tr w14:paraId="1B82A9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85" w:type="dxa"/>
              <w:left w:w="110" w:type="dxa"/>
              <w:bottom w:w="85" w:type="dxa"/>
              <w:right w:w="110" w:type="dxa"/>
            </w:tcMar>
            <w:vAlign w:val="center"/>
          </w:tcPr>
          <w:p w14:paraId="6F89FF1E">
            <w:pPr>
              <w:spacing w:after="0" w:line="247" w:lineRule="auto"/>
              <w:jc w:val="left"/>
            </w:pPr>
            <w:r>
              <w:rPr>
                <w:rFonts w:ascii="Aptos" w:hAnsi="Aptos"/>
                <w:b/>
                <w:sz w:val="18"/>
              </w:rPr>
              <w:t>PostgreSQL database</w:t>
            </w:r>
          </w:p>
        </w:tc>
        <w:tc>
          <w:tcPr>
            <w:tcW w:w="7776" w:type="dxa"/>
            <w:tcMar>
              <w:top w:w="85" w:type="dxa"/>
              <w:left w:w="110" w:type="dxa"/>
              <w:bottom w:w="85" w:type="dxa"/>
              <w:right w:w="110" w:type="dxa"/>
            </w:tcMar>
            <w:vAlign w:val="center"/>
          </w:tcPr>
          <w:p w14:paraId="404F942D">
            <w:pPr>
              <w:spacing w:after="0" w:line="247" w:lineRule="auto"/>
              <w:jc w:val="center"/>
            </w:pPr>
            <w:r>
              <w:rPr>
                <w:rFonts w:ascii="Aptos" w:hAnsi="Aptos"/>
                <w:b w:val="0"/>
                <w:sz w:val="18"/>
              </w:rPr>
              <w:t>Least-privilege connections, parameterized queries, backup protection, integrity of lifecycle history, and audit retention.</w:t>
            </w:r>
          </w:p>
        </w:tc>
      </w:tr>
      <w:tr w14:paraId="2467BE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4F8FB"/>
            <w:tcMar>
              <w:top w:w="85" w:type="dxa"/>
              <w:left w:w="110" w:type="dxa"/>
              <w:bottom w:w="85" w:type="dxa"/>
              <w:right w:w="110" w:type="dxa"/>
            </w:tcMar>
            <w:vAlign w:val="center"/>
          </w:tcPr>
          <w:p w14:paraId="45761F8D">
            <w:pPr>
              <w:spacing w:after="0" w:line="247" w:lineRule="auto"/>
              <w:jc w:val="left"/>
            </w:pPr>
            <w:r>
              <w:rPr>
                <w:rFonts w:ascii="Aptos" w:hAnsi="Aptos"/>
                <w:b/>
                <w:sz w:val="18"/>
              </w:rPr>
              <w:t>Private file storage</w:t>
            </w:r>
          </w:p>
        </w:tc>
        <w:tc>
          <w:tcPr>
            <w:tcW w:w="7776" w:type="dxa"/>
            <w:shd w:val="clear" w:color="auto" w:fill="F4F8FB"/>
            <w:tcMar>
              <w:top w:w="85" w:type="dxa"/>
              <w:left w:w="110" w:type="dxa"/>
              <w:bottom w:w="85" w:type="dxa"/>
              <w:right w:w="110" w:type="dxa"/>
            </w:tcMar>
            <w:vAlign w:val="center"/>
          </w:tcPr>
          <w:p w14:paraId="28452A95">
            <w:pPr>
              <w:spacing w:after="0" w:line="247" w:lineRule="auto"/>
              <w:jc w:val="center"/>
            </w:pPr>
            <w:r>
              <w:rPr>
                <w:rFonts w:ascii="Aptos" w:hAnsi="Aptos"/>
                <w:b w:val="0"/>
                <w:sz w:val="18"/>
              </w:rPr>
              <w:t>Authorized upload/download, malware scanning, storage-key protection, short-lived access, and quarantine.</w:t>
            </w:r>
          </w:p>
        </w:tc>
      </w:tr>
      <w:tr w14:paraId="2C86DF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85" w:type="dxa"/>
              <w:left w:w="110" w:type="dxa"/>
              <w:bottom w:w="85" w:type="dxa"/>
              <w:right w:w="110" w:type="dxa"/>
            </w:tcMar>
            <w:vAlign w:val="center"/>
          </w:tcPr>
          <w:p w14:paraId="55E43EBE">
            <w:pPr>
              <w:spacing w:after="0" w:line="247" w:lineRule="auto"/>
              <w:jc w:val="left"/>
            </w:pPr>
            <w:r>
              <w:rPr>
                <w:rFonts w:ascii="Aptos" w:hAnsi="Aptos"/>
                <w:b/>
                <w:sz w:val="18"/>
              </w:rPr>
              <w:t>AI prediction service</w:t>
            </w:r>
          </w:p>
        </w:tc>
        <w:tc>
          <w:tcPr>
            <w:tcW w:w="7776" w:type="dxa"/>
            <w:tcMar>
              <w:top w:w="85" w:type="dxa"/>
              <w:left w:w="110" w:type="dxa"/>
              <w:bottom w:w="85" w:type="dxa"/>
              <w:right w:w="110" w:type="dxa"/>
            </w:tcMar>
            <w:vAlign w:val="center"/>
          </w:tcPr>
          <w:p w14:paraId="78AD5EB8">
            <w:pPr>
              <w:spacing w:after="0" w:line="247" w:lineRule="auto"/>
              <w:jc w:val="center"/>
            </w:pPr>
            <w:r>
              <w:rPr>
                <w:rFonts w:ascii="Aptos" w:hAnsi="Aptos"/>
                <w:b w:val="0"/>
                <w:sz w:val="18"/>
              </w:rPr>
              <w:t>Input integrity, model/version traceability, access control, human confirmation, and deterministic fallback.</w:t>
            </w:r>
          </w:p>
        </w:tc>
      </w:tr>
      <w:tr w14:paraId="6D59A3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4F8FB"/>
            <w:tcMar>
              <w:top w:w="85" w:type="dxa"/>
              <w:left w:w="110" w:type="dxa"/>
              <w:bottom w:w="85" w:type="dxa"/>
              <w:right w:w="110" w:type="dxa"/>
            </w:tcMar>
            <w:vAlign w:val="center"/>
          </w:tcPr>
          <w:p w14:paraId="65F38D77">
            <w:pPr>
              <w:spacing w:after="0" w:line="247" w:lineRule="auto"/>
              <w:jc w:val="left"/>
            </w:pPr>
            <w:r>
              <w:rPr>
                <w:rFonts w:ascii="Aptos" w:hAnsi="Aptos"/>
                <w:b/>
                <w:sz w:val="18"/>
              </w:rPr>
              <w:t>Audit and monitoring boundary</w:t>
            </w:r>
          </w:p>
        </w:tc>
        <w:tc>
          <w:tcPr>
            <w:tcW w:w="7776" w:type="dxa"/>
            <w:shd w:val="clear" w:color="auto" w:fill="F4F8FB"/>
            <w:tcMar>
              <w:top w:w="85" w:type="dxa"/>
              <w:left w:w="110" w:type="dxa"/>
              <w:bottom w:w="85" w:type="dxa"/>
              <w:right w:w="110" w:type="dxa"/>
            </w:tcMar>
            <w:vAlign w:val="center"/>
          </w:tcPr>
          <w:p w14:paraId="10297EFB">
            <w:pPr>
              <w:spacing w:after="0" w:line="247" w:lineRule="auto"/>
              <w:jc w:val="center"/>
            </w:pPr>
            <w:r>
              <w:rPr>
                <w:rFonts w:ascii="Aptos" w:hAnsi="Aptos"/>
                <w:b w:val="0"/>
                <w:sz w:val="18"/>
              </w:rPr>
              <w:t>Append-only evidence for critical events, security-event logging, and monitoring of authentication or resource-abuse anomalies.</w:t>
            </w:r>
          </w:p>
        </w:tc>
      </w:tr>
    </w:tbl>
    <w:p w14:paraId="196683EA">
      <w:pPr>
        <w:spacing w:after="40"/>
      </w:pPr>
    </w:p>
    <w:p w14:paraId="1DAB0890">
      <w:pPr>
        <w:pStyle w:val="2"/>
        <w:spacing w:before="220" w:after="80"/>
      </w:pPr>
      <w:r>
        <w:rPr>
          <w:rFonts w:ascii="Aptos" w:hAnsi="Aptos"/>
          <w:b/>
          <w:sz w:val="28"/>
        </w:rPr>
        <w:t>3 Threat Register</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5"/>
        <w:gridCol w:w="2045"/>
        <w:gridCol w:w="2045"/>
        <w:gridCol w:w="2045"/>
        <w:gridCol w:w="2045"/>
      </w:tblGrid>
      <w:tr w14:paraId="6D9DA9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1656" w:type="dxa"/>
            <w:shd w:val="clear" w:color="auto" w:fill="1F4E78"/>
            <w:tcMar>
              <w:top w:w="85" w:type="dxa"/>
              <w:left w:w="110" w:type="dxa"/>
              <w:bottom w:w="85" w:type="dxa"/>
              <w:right w:w="110" w:type="dxa"/>
            </w:tcMar>
            <w:vAlign w:val="center"/>
          </w:tcPr>
          <w:p w14:paraId="1A3D97C5">
            <w:pPr>
              <w:jc w:val="center"/>
            </w:pPr>
            <w:r>
              <w:rPr>
                <w:rFonts w:ascii="Aptos" w:hAnsi="Aptos"/>
                <w:b/>
                <w:color w:val="FFFFFF"/>
                <w:sz w:val="14"/>
              </w:rPr>
              <w:t>Asset or boundary</w:t>
            </w:r>
          </w:p>
        </w:tc>
        <w:tc>
          <w:tcPr>
            <w:tcW w:w="2952" w:type="dxa"/>
            <w:shd w:val="clear" w:color="auto" w:fill="1F4E78"/>
            <w:tcMar>
              <w:top w:w="85" w:type="dxa"/>
              <w:left w:w="110" w:type="dxa"/>
              <w:bottom w:w="85" w:type="dxa"/>
              <w:right w:w="110" w:type="dxa"/>
            </w:tcMar>
            <w:vAlign w:val="center"/>
          </w:tcPr>
          <w:p w14:paraId="186CD2E2">
            <w:pPr>
              <w:jc w:val="center"/>
            </w:pPr>
            <w:r>
              <w:rPr>
                <w:rFonts w:ascii="Aptos" w:hAnsi="Aptos"/>
                <w:b/>
                <w:color w:val="FFFFFF"/>
                <w:sz w:val="14"/>
              </w:rPr>
              <w:t>Threat</w:t>
            </w:r>
          </w:p>
        </w:tc>
        <w:tc>
          <w:tcPr>
            <w:tcW w:w="893" w:type="dxa"/>
            <w:shd w:val="clear" w:color="auto" w:fill="1F4E78"/>
            <w:tcMar>
              <w:top w:w="85" w:type="dxa"/>
              <w:left w:w="110" w:type="dxa"/>
              <w:bottom w:w="85" w:type="dxa"/>
              <w:right w:w="110" w:type="dxa"/>
            </w:tcMar>
            <w:vAlign w:val="center"/>
          </w:tcPr>
          <w:p w14:paraId="4511ED5B">
            <w:pPr>
              <w:jc w:val="left"/>
            </w:pPr>
            <w:r>
              <w:rPr>
                <w:rFonts w:ascii="Aptos" w:hAnsi="Aptos"/>
                <w:b/>
                <w:color w:val="FFFFFF"/>
                <w:sz w:val="14"/>
              </w:rPr>
              <w:t>Risk</w:t>
            </w:r>
          </w:p>
        </w:tc>
        <w:tc>
          <w:tcPr>
            <w:tcW w:w="3816" w:type="dxa"/>
            <w:shd w:val="clear" w:color="auto" w:fill="1F4E78"/>
            <w:tcMar>
              <w:top w:w="85" w:type="dxa"/>
              <w:left w:w="110" w:type="dxa"/>
              <w:bottom w:w="85" w:type="dxa"/>
              <w:right w:w="110" w:type="dxa"/>
            </w:tcMar>
            <w:vAlign w:val="center"/>
          </w:tcPr>
          <w:p w14:paraId="73EA9E7A">
            <w:pPr>
              <w:jc w:val="left"/>
            </w:pPr>
            <w:r>
              <w:rPr>
                <w:rFonts w:ascii="Aptos" w:hAnsi="Aptos"/>
                <w:b/>
                <w:color w:val="FFFFFF"/>
                <w:sz w:val="14"/>
              </w:rPr>
              <w:t>Controls</w:t>
            </w:r>
          </w:p>
        </w:tc>
        <w:tc>
          <w:tcPr>
            <w:tcW w:w="1195" w:type="dxa"/>
            <w:shd w:val="clear" w:color="auto" w:fill="1F4E78"/>
            <w:tcMar>
              <w:top w:w="85" w:type="dxa"/>
              <w:left w:w="110" w:type="dxa"/>
              <w:bottom w:w="85" w:type="dxa"/>
              <w:right w:w="110" w:type="dxa"/>
            </w:tcMar>
            <w:vAlign w:val="center"/>
          </w:tcPr>
          <w:p w14:paraId="76177678">
            <w:pPr>
              <w:jc w:val="left"/>
            </w:pPr>
            <w:r>
              <w:rPr>
                <w:rFonts w:ascii="Aptos" w:hAnsi="Aptos"/>
                <w:b/>
                <w:color w:val="FFFFFF"/>
                <w:sz w:val="14"/>
              </w:rPr>
              <w:t>Requirements</w:t>
            </w:r>
          </w:p>
        </w:tc>
      </w:tr>
      <w:tr w14:paraId="1F24E7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656" w:type="dxa"/>
            <w:tcMar>
              <w:top w:w="85" w:type="dxa"/>
              <w:left w:w="110" w:type="dxa"/>
              <w:bottom w:w="85" w:type="dxa"/>
              <w:right w:w="110" w:type="dxa"/>
            </w:tcMar>
            <w:vAlign w:val="center"/>
          </w:tcPr>
          <w:p w14:paraId="76B0D955">
            <w:pPr>
              <w:spacing w:after="0" w:line="247" w:lineRule="auto"/>
              <w:jc w:val="left"/>
            </w:pPr>
            <w:r>
              <w:rPr>
                <w:rFonts w:ascii="Aptos" w:hAnsi="Aptos"/>
                <w:b/>
                <w:sz w:val="14"/>
              </w:rPr>
              <w:t>User credentials</w:t>
            </w:r>
          </w:p>
        </w:tc>
        <w:tc>
          <w:tcPr>
            <w:tcW w:w="2952" w:type="dxa"/>
            <w:tcMar>
              <w:top w:w="85" w:type="dxa"/>
              <w:left w:w="110" w:type="dxa"/>
              <w:bottom w:w="85" w:type="dxa"/>
              <w:right w:w="110" w:type="dxa"/>
            </w:tcMar>
            <w:vAlign w:val="center"/>
          </w:tcPr>
          <w:p w14:paraId="24B89F2B">
            <w:pPr>
              <w:spacing w:after="0" w:line="247" w:lineRule="auto"/>
              <w:jc w:val="center"/>
            </w:pPr>
            <w:r>
              <w:rPr>
                <w:rFonts w:ascii="Aptos" w:hAnsi="Aptos"/>
                <w:b w:val="0"/>
                <w:sz w:val="14"/>
              </w:rPr>
              <w:t>Account takeover through brute force, token theft, or unsafe reset</w:t>
            </w:r>
          </w:p>
        </w:tc>
        <w:tc>
          <w:tcPr>
            <w:tcW w:w="893" w:type="dxa"/>
            <w:tcMar>
              <w:top w:w="85" w:type="dxa"/>
              <w:left w:w="110" w:type="dxa"/>
              <w:bottom w:w="85" w:type="dxa"/>
              <w:right w:w="110" w:type="dxa"/>
            </w:tcMar>
            <w:vAlign w:val="center"/>
          </w:tcPr>
          <w:p w14:paraId="5A01E226">
            <w:pPr>
              <w:spacing w:after="0" w:line="247" w:lineRule="auto"/>
              <w:jc w:val="left"/>
            </w:pPr>
            <w:r>
              <w:rPr>
                <w:rFonts w:ascii="Aptos" w:hAnsi="Aptos"/>
                <w:b w:val="0"/>
                <w:sz w:val="14"/>
              </w:rPr>
              <w:t>High</w:t>
            </w:r>
          </w:p>
        </w:tc>
        <w:tc>
          <w:tcPr>
            <w:tcW w:w="3816" w:type="dxa"/>
            <w:tcMar>
              <w:top w:w="85" w:type="dxa"/>
              <w:left w:w="110" w:type="dxa"/>
              <w:bottom w:w="85" w:type="dxa"/>
              <w:right w:w="110" w:type="dxa"/>
            </w:tcMar>
            <w:vAlign w:val="center"/>
          </w:tcPr>
          <w:p w14:paraId="0308D02B">
            <w:pPr>
              <w:spacing w:after="0" w:line="247" w:lineRule="auto"/>
              <w:jc w:val="left"/>
            </w:pPr>
            <w:r>
              <w:rPr>
                <w:rFonts w:ascii="Aptos" w:hAnsi="Aptos"/>
                <w:b w:val="0"/>
                <w:sz w:val="14"/>
              </w:rPr>
              <w:t>Rate limit authentication, secure password hashing, short-lived tokens, rotation, revocation, secure reset flows</w:t>
            </w:r>
          </w:p>
        </w:tc>
        <w:tc>
          <w:tcPr>
            <w:tcW w:w="1195" w:type="dxa"/>
            <w:tcMar>
              <w:top w:w="85" w:type="dxa"/>
              <w:left w:w="110" w:type="dxa"/>
              <w:bottom w:w="85" w:type="dxa"/>
              <w:right w:w="110" w:type="dxa"/>
            </w:tcMar>
            <w:vAlign w:val="center"/>
          </w:tcPr>
          <w:p w14:paraId="7B5D7A3D">
            <w:pPr>
              <w:spacing w:after="0" w:line="247" w:lineRule="auto"/>
              <w:jc w:val="left"/>
            </w:pPr>
            <w:r>
              <w:rPr>
                <w:rFonts w:ascii="Aptos" w:hAnsi="Aptos"/>
                <w:b w:val="0"/>
                <w:sz w:val="14"/>
              </w:rPr>
              <w:t>01-04, 41-43</w:t>
            </w:r>
          </w:p>
        </w:tc>
      </w:tr>
      <w:tr w14:paraId="110FBF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656" w:type="dxa"/>
            <w:shd w:val="clear" w:color="auto" w:fill="F4F8FB"/>
            <w:tcMar>
              <w:top w:w="85" w:type="dxa"/>
              <w:left w:w="110" w:type="dxa"/>
              <w:bottom w:w="85" w:type="dxa"/>
              <w:right w:w="110" w:type="dxa"/>
            </w:tcMar>
            <w:vAlign w:val="center"/>
          </w:tcPr>
          <w:p w14:paraId="2A7FC053">
            <w:pPr>
              <w:spacing w:after="0" w:line="247" w:lineRule="auto"/>
              <w:jc w:val="left"/>
            </w:pPr>
            <w:r>
              <w:rPr>
                <w:rFonts w:ascii="Aptos" w:hAnsi="Aptos"/>
                <w:b/>
                <w:sz w:val="14"/>
              </w:rPr>
              <w:t>RBAC and scope</w:t>
            </w:r>
          </w:p>
        </w:tc>
        <w:tc>
          <w:tcPr>
            <w:tcW w:w="2952" w:type="dxa"/>
            <w:shd w:val="clear" w:color="auto" w:fill="F4F8FB"/>
            <w:tcMar>
              <w:top w:w="85" w:type="dxa"/>
              <w:left w:w="110" w:type="dxa"/>
              <w:bottom w:w="85" w:type="dxa"/>
              <w:right w:w="110" w:type="dxa"/>
            </w:tcMar>
            <w:vAlign w:val="center"/>
          </w:tcPr>
          <w:p w14:paraId="6CD2F7F7">
            <w:pPr>
              <w:spacing w:after="0" w:line="247" w:lineRule="auto"/>
              <w:jc w:val="center"/>
            </w:pPr>
            <w:r>
              <w:rPr>
                <w:rFonts w:ascii="Aptos" w:hAnsi="Aptos"/>
                <w:b w:val="0"/>
                <w:sz w:val="14"/>
              </w:rPr>
              <w:t>Privilege escalation or cross-college access through missing object checks</w:t>
            </w:r>
          </w:p>
        </w:tc>
        <w:tc>
          <w:tcPr>
            <w:tcW w:w="893" w:type="dxa"/>
            <w:shd w:val="clear" w:color="auto" w:fill="F4F8FB"/>
            <w:tcMar>
              <w:top w:w="85" w:type="dxa"/>
              <w:left w:w="110" w:type="dxa"/>
              <w:bottom w:w="85" w:type="dxa"/>
              <w:right w:w="110" w:type="dxa"/>
            </w:tcMar>
            <w:vAlign w:val="center"/>
          </w:tcPr>
          <w:p w14:paraId="025D902F">
            <w:pPr>
              <w:spacing w:after="0" w:line="247" w:lineRule="auto"/>
              <w:jc w:val="left"/>
            </w:pPr>
            <w:r>
              <w:rPr>
                <w:rFonts w:ascii="Aptos" w:hAnsi="Aptos"/>
                <w:b w:val="0"/>
                <w:sz w:val="14"/>
              </w:rPr>
              <w:t>Critical</w:t>
            </w:r>
          </w:p>
        </w:tc>
        <w:tc>
          <w:tcPr>
            <w:tcW w:w="3816" w:type="dxa"/>
            <w:shd w:val="clear" w:color="auto" w:fill="F4F8FB"/>
            <w:tcMar>
              <w:top w:w="85" w:type="dxa"/>
              <w:left w:w="110" w:type="dxa"/>
              <w:bottom w:w="85" w:type="dxa"/>
              <w:right w:w="110" w:type="dxa"/>
            </w:tcMar>
            <w:vAlign w:val="center"/>
          </w:tcPr>
          <w:p w14:paraId="784A3343">
            <w:pPr>
              <w:spacing w:after="0" w:line="247" w:lineRule="auto"/>
              <w:jc w:val="left"/>
            </w:pPr>
            <w:r>
              <w:rPr>
                <w:rFonts w:ascii="Aptos" w:hAnsi="Aptos"/>
                <w:b w:val="0"/>
                <w:sz w:val="14"/>
              </w:rPr>
              <w:t>Backend RBAC, object-level authorization, scope grants, deny self-service role/scope changes</w:t>
            </w:r>
          </w:p>
        </w:tc>
        <w:tc>
          <w:tcPr>
            <w:tcW w:w="1195" w:type="dxa"/>
            <w:shd w:val="clear" w:color="auto" w:fill="F4F8FB"/>
            <w:tcMar>
              <w:top w:w="85" w:type="dxa"/>
              <w:left w:w="110" w:type="dxa"/>
              <w:bottom w:w="85" w:type="dxa"/>
              <w:right w:w="110" w:type="dxa"/>
            </w:tcMar>
            <w:vAlign w:val="center"/>
          </w:tcPr>
          <w:p w14:paraId="3C8348FC">
            <w:pPr>
              <w:spacing w:after="0" w:line="247" w:lineRule="auto"/>
              <w:jc w:val="left"/>
            </w:pPr>
            <w:r>
              <w:rPr>
                <w:rFonts w:ascii="Aptos" w:hAnsi="Aptos"/>
                <w:b w:val="0"/>
                <w:sz w:val="14"/>
              </w:rPr>
              <w:t>05-14, 33, 44</w:t>
            </w:r>
          </w:p>
        </w:tc>
      </w:tr>
      <w:tr w14:paraId="7DB06B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656" w:type="dxa"/>
            <w:tcMar>
              <w:top w:w="85" w:type="dxa"/>
              <w:left w:w="110" w:type="dxa"/>
              <w:bottom w:w="85" w:type="dxa"/>
              <w:right w:w="110" w:type="dxa"/>
            </w:tcMar>
            <w:vAlign w:val="center"/>
          </w:tcPr>
          <w:p w14:paraId="17612DBC">
            <w:pPr>
              <w:spacing w:after="0" w:line="247" w:lineRule="auto"/>
              <w:jc w:val="left"/>
            </w:pPr>
            <w:r>
              <w:rPr>
                <w:rFonts w:ascii="Aptos" w:hAnsi="Aptos"/>
                <w:b/>
                <w:sz w:val="14"/>
              </w:rPr>
              <w:t>Transfers and retirement</w:t>
            </w:r>
          </w:p>
        </w:tc>
        <w:tc>
          <w:tcPr>
            <w:tcW w:w="2952" w:type="dxa"/>
            <w:tcMar>
              <w:top w:w="85" w:type="dxa"/>
              <w:left w:w="110" w:type="dxa"/>
              <w:bottom w:w="85" w:type="dxa"/>
              <w:right w:w="110" w:type="dxa"/>
            </w:tcMar>
            <w:vAlign w:val="center"/>
          </w:tcPr>
          <w:p w14:paraId="0AF34D18">
            <w:pPr>
              <w:spacing w:after="0" w:line="247" w:lineRule="auto"/>
              <w:jc w:val="center"/>
            </w:pPr>
            <w:r>
              <w:rPr>
                <w:rFonts w:ascii="Aptos" w:hAnsi="Aptos"/>
                <w:b w:val="0"/>
                <w:sz w:val="14"/>
              </w:rPr>
              <w:t>Self-approval, bypassed state transitions, or tampered custody history</w:t>
            </w:r>
          </w:p>
        </w:tc>
        <w:tc>
          <w:tcPr>
            <w:tcW w:w="893" w:type="dxa"/>
            <w:tcMar>
              <w:top w:w="85" w:type="dxa"/>
              <w:left w:w="110" w:type="dxa"/>
              <w:bottom w:w="85" w:type="dxa"/>
              <w:right w:w="110" w:type="dxa"/>
            </w:tcMar>
            <w:vAlign w:val="center"/>
          </w:tcPr>
          <w:p w14:paraId="101E6437">
            <w:pPr>
              <w:spacing w:after="0" w:line="247" w:lineRule="auto"/>
              <w:jc w:val="left"/>
            </w:pPr>
            <w:r>
              <w:rPr>
                <w:rFonts w:ascii="Aptos" w:hAnsi="Aptos"/>
                <w:b w:val="0"/>
                <w:sz w:val="14"/>
              </w:rPr>
              <w:t>Critical</w:t>
            </w:r>
          </w:p>
        </w:tc>
        <w:tc>
          <w:tcPr>
            <w:tcW w:w="3816" w:type="dxa"/>
            <w:tcMar>
              <w:top w:w="85" w:type="dxa"/>
              <w:left w:w="110" w:type="dxa"/>
              <w:bottom w:w="85" w:type="dxa"/>
              <w:right w:w="110" w:type="dxa"/>
            </w:tcMar>
            <w:vAlign w:val="center"/>
          </w:tcPr>
          <w:p w14:paraId="5404E67E">
            <w:pPr>
              <w:spacing w:after="0" w:line="247" w:lineRule="auto"/>
              <w:jc w:val="left"/>
            </w:pPr>
            <w:r>
              <w:rPr>
                <w:rFonts w:ascii="Aptos" w:hAnsi="Aptos"/>
                <w:b w:val="0"/>
                <w:sz w:val="14"/>
              </w:rPr>
              <w:t>Separate requester and approver, authenticated workflow, append-only history, immutable audit events</w:t>
            </w:r>
          </w:p>
        </w:tc>
        <w:tc>
          <w:tcPr>
            <w:tcW w:w="1195" w:type="dxa"/>
            <w:tcMar>
              <w:top w:w="85" w:type="dxa"/>
              <w:left w:w="110" w:type="dxa"/>
              <w:bottom w:w="85" w:type="dxa"/>
              <w:right w:w="110" w:type="dxa"/>
            </w:tcMar>
            <w:vAlign w:val="center"/>
          </w:tcPr>
          <w:p w14:paraId="0C56D07D">
            <w:pPr>
              <w:spacing w:after="0" w:line="247" w:lineRule="auto"/>
              <w:jc w:val="left"/>
            </w:pPr>
            <w:r>
              <w:rPr>
                <w:rFonts w:ascii="Aptos" w:hAnsi="Aptos"/>
                <w:b w:val="0"/>
                <w:sz w:val="14"/>
              </w:rPr>
              <w:t>15-19, 28-30, 44</w:t>
            </w:r>
          </w:p>
        </w:tc>
      </w:tr>
      <w:tr w14:paraId="7E8240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656" w:type="dxa"/>
            <w:shd w:val="clear" w:color="auto" w:fill="F4F8FB"/>
            <w:tcMar>
              <w:top w:w="85" w:type="dxa"/>
              <w:left w:w="110" w:type="dxa"/>
              <w:bottom w:w="85" w:type="dxa"/>
              <w:right w:w="110" w:type="dxa"/>
            </w:tcMar>
            <w:vAlign w:val="center"/>
          </w:tcPr>
          <w:p w14:paraId="0E06D121">
            <w:pPr>
              <w:spacing w:after="0" w:line="247" w:lineRule="auto"/>
              <w:jc w:val="left"/>
            </w:pPr>
            <w:r>
              <w:rPr>
                <w:rFonts w:ascii="Aptos" w:hAnsi="Aptos"/>
                <w:b/>
                <w:sz w:val="14"/>
              </w:rPr>
              <w:t>Financial records</w:t>
            </w:r>
          </w:p>
        </w:tc>
        <w:tc>
          <w:tcPr>
            <w:tcW w:w="2952" w:type="dxa"/>
            <w:shd w:val="clear" w:color="auto" w:fill="F4F8FB"/>
            <w:tcMar>
              <w:top w:w="85" w:type="dxa"/>
              <w:left w:w="110" w:type="dxa"/>
              <w:bottom w:w="85" w:type="dxa"/>
              <w:right w:w="110" w:type="dxa"/>
            </w:tcMar>
            <w:vAlign w:val="center"/>
          </w:tcPr>
          <w:p w14:paraId="7CCD4066">
            <w:pPr>
              <w:spacing w:after="0" w:line="247" w:lineRule="auto"/>
              <w:jc w:val="center"/>
            </w:pPr>
            <w:r>
              <w:rPr>
                <w:rFonts w:ascii="Aptos" w:hAnsi="Aptos"/>
                <w:b w:val="0"/>
                <w:sz w:val="14"/>
              </w:rPr>
              <w:t>Unauthorized invoice or purchase-order viewing/modification</w:t>
            </w:r>
          </w:p>
        </w:tc>
        <w:tc>
          <w:tcPr>
            <w:tcW w:w="893" w:type="dxa"/>
            <w:shd w:val="clear" w:color="auto" w:fill="F4F8FB"/>
            <w:tcMar>
              <w:top w:w="85" w:type="dxa"/>
              <w:left w:w="110" w:type="dxa"/>
              <w:bottom w:w="85" w:type="dxa"/>
              <w:right w:w="110" w:type="dxa"/>
            </w:tcMar>
            <w:vAlign w:val="center"/>
          </w:tcPr>
          <w:p w14:paraId="33F41D3C">
            <w:pPr>
              <w:spacing w:after="0" w:line="247" w:lineRule="auto"/>
              <w:jc w:val="left"/>
            </w:pPr>
            <w:r>
              <w:rPr>
                <w:rFonts w:ascii="Aptos" w:hAnsi="Aptos"/>
                <w:b w:val="0"/>
                <w:sz w:val="14"/>
              </w:rPr>
              <w:t>High</w:t>
            </w:r>
          </w:p>
        </w:tc>
        <w:tc>
          <w:tcPr>
            <w:tcW w:w="3816" w:type="dxa"/>
            <w:shd w:val="clear" w:color="auto" w:fill="F4F8FB"/>
            <w:tcMar>
              <w:top w:w="85" w:type="dxa"/>
              <w:left w:w="110" w:type="dxa"/>
              <w:bottom w:w="85" w:type="dxa"/>
              <w:right w:w="110" w:type="dxa"/>
            </w:tcMar>
            <w:vAlign w:val="center"/>
          </w:tcPr>
          <w:p w14:paraId="3D6FF875">
            <w:pPr>
              <w:spacing w:after="0" w:line="247" w:lineRule="auto"/>
              <w:jc w:val="left"/>
            </w:pPr>
            <w:r>
              <w:rPr>
                <w:rFonts w:ascii="Aptos" w:hAnsi="Aptos"/>
                <w:b w:val="0"/>
                <w:sz w:val="14"/>
              </w:rPr>
              <w:t>Separate procurement permissions, backend scope checks, object-level authorization</w:t>
            </w:r>
          </w:p>
        </w:tc>
        <w:tc>
          <w:tcPr>
            <w:tcW w:w="1195" w:type="dxa"/>
            <w:shd w:val="clear" w:color="auto" w:fill="F4F8FB"/>
            <w:tcMar>
              <w:top w:w="85" w:type="dxa"/>
              <w:left w:w="110" w:type="dxa"/>
              <w:bottom w:w="85" w:type="dxa"/>
              <w:right w:w="110" w:type="dxa"/>
            </w:tcMar>
            <w:vAlign w:val="center"/>
          </w:tcPr>
          <w:p w14:paraId="06553FC3">
            <w:pPr>
              <w:spacing w:after="0" w:line="247" w:lineRule="auto"/>
              <w:jc w:val="left"/>
            </w:pPr>
            <w:r>
              <w:rPr>
                <w:rFonts w:ascii="Aptos" w:hAnsi="Aptos"/>
                <w:b w:val="0"/>
                <w:sz w:val="14"/>
              </w:rPr>
              <w:t>20-23, 33</w:t>
            </w:r>
          </w:p>
        </w:tc>
      </w:tr>
      <w:tr w14:paraId="17913B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656" w:type="dxa"/>
            <w:tcMar>
              <w:top w:w="85" w:type="dxa"/>
              <w:left w:w="110" w:type="dxa"/>
              <w:bottom w:w="85" w:type="dxa"/>
              <w:right w:w="110" w:type="dxa"/>
            </w:tcMar>
            <w:vAlign w:val="center"/>
          </w:tcPr>
          <w:p w14:paraId="1C9507BB">
            <w:pPr>
              <w:spacing w:after="0" w:line="247" w:lineRule="auto"/>
              <w:jc w:val="left"/>
            </w:pPr>
            <w:r>
              <w:rPr>
                <w:rFonts w:ascii="Aptos" w:hAnsi="Aptos"/>
                <w:b/>
                <w:sz w:val="14"/>
              </w:rPr>
              <w:t>Attachments</w:t>
            </w:r>
          </w:p>
        </w:tc>
        <w:tc>
          <w:tcPr>
            <w:tcW w:w="2952" w:type="dxa"/>
            <w:tcMar>
              <w:top w:w="85" w:type="dxa"/>
              <w:left w:w="110" w:type="dxa"/>
              <w:bottom w:w="85" w:type="dxa"/>
              <w:right w:w="110" w:type="dxa"/>
            </w:tcMar>
            <w:vAlign w:val="center"/>
          </w:tcPr>
          <w:p w14:paraId="2B80ADD3">
            <w:pPr>
              <w:spacing w:after="0" w:line="247" w:lineRule="auto"/>
              <w:jc w:val="center"/>
            </w:pPr>
            <w:r>
              <w:rPr>
                <w:rFonts w:ascii="Aptos" w:hAnsi="Aptos"/>
                <w:b w:val="0"/>
                <w:sz w:val="14"/>
              </w:rPr>
              <w:t>Malware upload, public-link exposure, path manipulation, unauthorized download</w:t>
            </w:r>
          </w:p>
        </w:tc>
        <w:tc>
          <w:tcPr>
            <w:tcW w:w="893" w:type="dxa"/>
            <w:tcMar>
              <w:top w:w="85" w:type="dxa"/>
              <w:left w:w="110" w:type="dxa"/>
              <w:bottom w:w="85" w:type="dxa"/>
              <w:right w:w="110" w:type="dxa"/>
            </w:tcMar>
            <w:vAlign w:val="center"/>
          </w:tcPr>
          <w:p w14:paraId="6CBF9DC1">
            <w:pPr>
              <w:spacing w:after="0" w:line="247" w:lineRule="auto"/>
              <w:jc w:val="left"/>
            </w:pPr>
            <w:r>
              <w:rPr>
                <w:rFonts w:ascii="Aptos" w:hAnsi="Aptos"/>
                <w:b w:val="0"/>
                <w:sz w:val="14"/>
              </w:rPr>
              <w:t>High</w:t>
            </w:r>
          </w:p>
        </w:tc>
        <w:tc>
          <w:tcPr>
            <w:tcW w:w="3816" w:type="dxa"/>
            <w:tcMar>
              <w:top w:w="85" w:type="dxa"/>
              <w:left w:w="110" w:type="dxa"/>
              <w:bottom w:w="85" w:type="dxa"/>
              <w:right w:w="110" w:type="dxa"/>
            </w:tcMar>
            <w:vAlign w:val="center"/>
          </w:tcPr>
          <w:p w14:paraId="69F2ACB4">
            <w:pPr>
              <w:spacing w:after="0" w:line="247" w:lineRule="auto"/>
              <w:jc w:val="left"/>
            </w:pPr>
            <w:r>
              <w:rPr>
                <w:rFonts w:ascii="Aptos" w:hAnsi="Aptos"/>
                <w:b w:val="0"/>
                <w:sz w:val="14"/>
              </w:rPr>
              <w:t>Private storage, type/size validation, malware scanning, key validation, short-lived authorization</w:t>
            </w:r>
          </w:p>
        </w:tc>
        <w:tc>
          <w:tcPr>
            <w:tcW w:w="1195" w:type="dxa"/>
            <w:tcMar>
              <w:top w:w="85" w:type="dxa"/>
              <w:left w:w="110" w:type="dxa"/>
              <w:bottom w:w="85" w:type="dxa"/>
              <w:right w:w="110" w:type="dxa"/>
            </w:tcMar>
            <w:vAlign w:val="center"/>
          </w:tcPr>
          <w:p w14:paraId="7A7B8C35">
            <w:pPr>
              <w:spacing w:after="0" w:line="247" w:lineRule="auto"/>
              <w:jc w:val="left"/>
            </w:pPr>
            <w:r>
              <w:rPr>
                <w:rFonts w:ascii="Aptos" w:hAnsi="Aptos"/>
                <w:b w:val="0"/>
                <w:sz w:val="14"/>
              </w:rPr>
              <w:t>24-27, 45-46</w:t>
            </w:r>
          </w:p>
        </w:tc>
      </w:tr>
      <w:tr w14:paraId="6BA905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656" w:type="dxa"/>
            <w:shd w:val="clear" w:color="auto" w:fill="F4F8FB"/>
            <w:tcMar>
              <w:top w:w="85" w:type="dxa"/>
              <w:left w:w="110" w:type="dxa"/>
              <w:bottom w:w="85" w:type="dxa"/>
              <w:right w:w="110" w:type="dxa"/>
            </w:tcMar>
            <w:vAlign w:val="center"/>
          </w:tcPr>
          <w:p w14:paraId="6E6C0896">
            <w:pPr>
              <w:spacing w:after="0" w:line="247" w:lineRule="auto"/>
              <w:jc w:val="left"/>
            </w:pPr>
            <w:r>
              <w:rPr>
                <w:rFonts w:ascii="Aptos" w:hAnsi="Aptos"/>
                <w:b/>
                <w:sz w:val="14"/>
              </w:rPr>
              <w:t>API endpoints</w:t>
            </w:r>
          </w:p>
        </w:tc>
        <w:tc>
          <w:tcPr>
            <w:tcW w:w="2952" w:type="dxa"/>
            <w:shd w:val="clear" w:color="auto" w:fill="F4F8FB"/>
            <w:tcMar>
              <w:top w:w="85" w:type="dxa"/>
              <w:left w:w="110" w:type="dxa"/>
              <w:bottom w:w="85" w:type="dxa"/>
              <w:right w:w="110" w:type="dxa"/>
            </w:tcMar>
            <w:vAlign w:val="center"/>
          </w:tcPr>
          <w:p w14:paraId="40DC4BB4">
            <w:pPr>
              <w:spacing w:after="0" w:line="247" w:lineRule="auto"/>
              <w:jc w:val="center"/>
            </w:pPr>
            <w:r>
              <w:rPr>
                <w:rFonts w:ascii="Aptos" w:hAnsi="Aptos"/>
                <w:b w:val="0"/>
                <w:sz w:val="14"/>
              </w:rPr>
              <w:t>IDOR, SQL injection, mass assignment, sensitive error disclosure</w:t>
            </w:r>
          </w:p>
        </w:tc>
        <w:tc>
          <w:tcPr>
            <w:tcW w:w="893" w:type="dxa"/>
            <w:shd w:val="clear" w:color="auto" w:fill="F4F8FB"/>
            <w:tcMar>
              <w:top w:w="85" w:type="dxa"/>
              <w:left w:w="110" w:type="dxa"/>
              <w:bottom w:w="85" w:type="dxa"/>
              <w:right w:w="110" w:type="dxa"/>
            </w:tcMar>
            <w:vAlign w:val="center"/>
          </w:tcPr>
          <w:p w14:paraId="575AB4E4">
            <w:pPr>
              <w:spacing w:after="0" w:line="247" w:lineRule="auto"/>
              <w:jc w:val="left"/>
            </w:pPr>
            <w:r>
              <w:rPr>
                <w:rFonts w:ascii="Aptos" w:hAnsi="Aptos"/>
                <w:b w:val="0"/>
                <w:sz w:val="14"/>
              </w:rPr>
              <w:t>High</w:t>
            </w:r>
          </w:p>
        </w:tc>
        <w:tc>
          <w:tcPr>
            <w:tcW w:w="3816" w:type="dxa"/>
            <w:shd w:val="clear" w:color="auto" w:fill="F4F8FB"/>
            <w:tcMar>
              <w:top w:w="85" w:type="dxa"/>
              <w:left w:w="110" w:type="dxa"/>
              <w:bottom w:w="85" w:type="dxa"/>
              <w:right w:w="110" w:type="dxa"/>
            </w:tcMar>
            <w:vAlign w:val="center"/>
          </w:tcPr>
          <w:p w14:paraId="125B57A6">
            <w:pPr>
              <w:spacing w:after="0" w:line="247" w:lineRule="auto"/>
              <w:jc w:val="left"/>
            </w:pPr>
            <w:r>
              <w:rPr>
                <w:rFonts w:ascii="Aptos" w:hAnsi="Aptos"/>
                <w:b w:val="0"/>
                <w:sz w:val="14"/>
              </w:rPr>
              <w:t>Resource authorization, parameterized queries, allow-list payloads, safe errors</w:t>
            </w:r>
          </w:p>
        </w:tc>
        <w:tc>
          <w:tcPr>
            <w:tcW w:w="1195" w:type="dxa"/>
            <w:shd w:val="clear" w:color="auto" w:fill="F4F8FB"/>
            <w:tcMar>
              <w:top w:w="85" w:type="dxa"/>
              <w:left w:w="110" w:type="dxa"/>
              <w:bottom w:w="85" w:type="dxa"/>
              <w:right w:w="110" w:type="dxa"/>
            </w:tcMar>
            <w:vAlign w:val="center"/>
          </w:tcPr>
          <w:p w14:paraId="4379AFE2">
            <w:pPr>
              <w:spacing w:after="0" w:line="247" w:lineRule="auto"/>
              <w:jc w:val="left"/>
            </w:pPr>
            <w:r>
              <w:rPr>
                <w:rFonts w:ascii="Aptos" w:hAnsi="Aptos"/>
                <w:b w:val="0"/>
                <w:sz w:val="14"/>
              </w:rPr>
              <w:t>32-36, 47</w:t>
            </w:r>
          </w:p>
        </w:tc>
      </w:tr>
      <w:tr w14:paraId="44EEF0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656" w:type="dxa"/>
            <w:tcMar>
              <w:top w:w="85" w:type="dxa"/>
              <w:left w:w="110" w:type="dxa"/>
              <w:bottom w:w="85" w:type="dxa"/>
              <w:right w:w="110" w:type="dxa"/>
            </w:tcMar>
            <w:vAlign w:val="center"/>
          </w:tcPr>
          <w:p w14:paraId="15602B56">
            <w:pPr>
              <w:spacing w:after="0" w:line="247" w:lineRule="auto"/>
              <w:jc w:val="left"/>
            </w:pPr>
            <w:r>
              <w:rPr>
                <w:rFonts w:ascii="Aptos" w:hAnsi="Aptos"/>
                <w:b/>
                <w:sz w:val="14"/>
              </w:rPr>
              <w:t>Web client</w:t>
            </w:r>
          </w:p>
        </w:tc>
        <w:tc>
          <w:tcPr>
            <w:tcW w:w="2952" w:type="dxa"/>
            <w:tcMar>
              <w:top w:w="85" w:type="dxa"/>
              <w:left w:w="110" w:type="dxa"/>
              <w:bottom w:w="85" w:type="dxa"/>
              <w:right w:w="110" w:type="dxa"/>
            </w:tcMar>
            <w:vAlign w:val="center"/>
          </w:tcPr>
          <w:p w14:paraId="677A6B3E">
            <w:pPr>
              <w:spacing w:after="0" w:line="247" w:lineRule="auto"/>
              <w:jc w:val="center"/>
            </w:pPr>
            <w:r>
              <w:rPr>
                <w:rFonts w:ascii="Aptos" w:hAnsi="Aptos"/>
                <w:b w:val="0"/>
                <w:sz w:val="14"/>
              </w:rPr>
              <w:t>Stored/reflected XSS, unsafe CORS, or CSRF with cookie sessions</w:t>
            </w:r>
          </w:p>
        </w:tc>
        <w:tc>
          <w:tcPr>
            <w:tcW w:w="893" w:type="dxa"/>
            <w:tcMar>
              <w:top w:w="85" w:type="dxa"/>
              <w:left w:w="110" w:type="dxa"/>
              <w:bottom w:w="85" w:type="dxa"/>
              <w:right w:w="110" w:type="dxa"/>
            </w:tcMar>
            <w:vAlign w:val="center"/>
          </w:tcPr>
          <w:p w14:paraId="64E99D46">
            <w:pPr>
              <w:spacing w:after="0" w:line="247" w:lineRule="auto"/>
              <w:jc w:val="left"/>
            </w:pPr>
            <w:r>
              <w:rPr>
                <w:rFonts w:ascii="Aptos" w:hAnsi="Aptos"/>
                <w:b w:val="0"/>
                <w:sz w:val="14"/>
              </w:rPr>
              <w:t>High</w:t>
            </w:r>
          </w:p>
        </w:tc>
        <w:tc>
          <w:tcPr>
            <w:tcW w:w="3816" w:type="dxa"/>
            <w:tcMar>
              <w:top w:w="85" w:type="dxa"/>
              <w:left w:w="110" w:type="dxa"/>
              <w:bottom w:w="85" w:type="dxa"/>
              <w:right w:w="110" w:type="dxa"/>
            </w:tcMar>
            <w:vAlign w:val="center"/>
          </w:tcPr>
          <w:p w14:paraId="3DEBB033">
            <w:pPr>
              <w:spacing w:after="0" w:line="247" w:lineRule="auto"/>
              <w:jc w:val="left"/>
            </w:pPr>
            <w:r>
              <w:rPr>
                <w:rFonts w:ascii="Aptos" w:hAnsi="Aptos"/>
                <w:b w:val="0"/>
                <w:sz w:val="14"/>
              </w:rPr>
              <w:t>Output encoding, security headers, restrictive CORS, CSRF protection when applicable</w:t>
            </w:r>
          </w:p>
        </w:tc>
        <w:tc>
          <w:tcPr>
            <w:tcW w:w="1195" w:type="dxa"/>
            <w:tcMar>
              <w:top w:w="85" w:type="dxa"/>
              <w:left w:w="110" w:type="dxa"/>
              <w:bottom w:w="85" w:type="dxa"/>
              <w:right w:w="110" w:type="dxa"/>
            </w:tcMar>
            <w:vAlign w:val="center"/>
          </w:tcPr>
          <w:p w14:paraId="44E807C6">
            <w:pPr>
              <w:spacing w:after="0" w:line="247" w:lineRule="auto"/>
              <w:jc w:val="left"/>
            </w:pPr>
            <w:r>
              <w:rPr>
                <w:rFonts w:ascii="Aptos" w:hAnsi="Aptos"/>
                <w:b w:val="0"/>
                <w:sz w:val="14"/>
              </w:rPr>
              <w:t>47, 49</w:t>
            </w:r>
          </w:p>
        </w:tc>
      </w:tr>
      <w:tr w14:paraId="2DF2ED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656" w:type="dxa"/>
            <w:shd w:val="clear" w:color="auto" w:fill="F4F8FB"/>
            <w:tcMar>
              <w:top w:w="85" w:type="dxa"/>
              <w:left w:w="110" w:type="dxa"/>
              <w:bottom w:w="85" w:type="dxa"/>
              <w:right w:w="110" w:type="dxa"/>
            </w:tcMar>
            <w:vAlign w:val="center"/>
          </w:tcPr>
          <w:p w14:paraId="42F2525E">
            <w:pPr>
              <w:spacing w:after="0" w:line="247" w:lineRule="auto"/>
              <w:jc w:val="left"/>
            </w:pPr>
            <w:r>
              <w:rPr>
                <w:rFonts w:ascii="Aptos" w:hAnsi="Aptos"/>
                <w:b/>
                <w:sz w:val="14"/>
              </w:rPr>
              <w:t>Asset import and export</w:t>
            </w:r>
          </w:p>
        </w:tc>
        <w:tc>
          <w:tcPr>
            <w:tcW w:w="2952" w:type="dxa"/>
            <w:shd w:val="clear" w:color="auto" w:fill="F4F8FB"/>
            <w:tcMar>
              <w:top w:w="85" w:type="dxa"/>
              <w:left w:w="110" w:type="dxa"/>
              <w:bottom w:w="85" w:type="dxa"/>
              <w:right w:w="110" w:type="dxa"/>
            </w:tcMar>
            <w:vAlign w:val="center"/>
          </w:tcPr>
          <w:p w14:paraId="27F4D0DB">
            <w:pPr>
              <w:spacing w:after="0" w:line="247" w:lineRule="auto"/>
              <w:jc w:val="center"/>
            </w:pPr>
            <w:r>
              <w:rPr>
                <w:rFonts w:ascii="Aptos" w:hAnsi="Aptos"/>
                <w:b w:val="0"/>
                <w:sz w:val="14"/>
              </w:rPr>
              <w:t>Malicious input, CSV formula injection, excessive file size, or data leakage in exports</w:t>
            </w:r>
          </w:p>
        </w:tc>
        <w:tc>
          <w:tcPr>
            <w:tcW w:w="893" w:type="dxa"/>
            <w:shd w:val="clear" w:color="auto" w:fill="F4F8FB"/>
            <w:tcMar>
              <w:top w:w="85" w:type="dxa"/>
              <w:left w:w="110" w:type="dxa"/>
              <w:bottom w:w="85" w:type="dxa"/>
              <w:right w:w="110" w:type="dxa"/>
            </w:tcMar>
            <w:vAlign w:val="center"/>
          </w:tcPr>
          <w:p w14:paraId="3F5A1786">
            <w:pPr>
              <w:spacing w:after="0" w:line="247" w:lineRule="auto"/>
              <w:jc w:val="left"/>
            </w:pPr>
            <w:r>
              <w:rPr>
                <w:rFonts w:ascii="Aptos" w:hAnsi="Aptos"/>
                <w:b w:val="0"/>
                <w:sz w:val="14"/>
              </w:rPr>
              <w:t>Medium</w:t>
            </w:r>
          </w:p>
        </w:tc>
        <w:tc>
          <w:tcPr>
            <w:tcW w:w="3816" w:type="dxa"/>
            <w:shd w:val="clear" w:color="auto" w:fill="F4F8FB"/>
            <w:tcMar>
              <w:top w:w="85" w:type="dxa"/>
              <w:left w:w="110" w:type="dxa"/>
              <w:bottom w:w="85" w:type="dxa"/>
              <w:right w:w="110" w:type="dxa"/>
            </w:tcMar>
            <w:vAlign w:val="center"/>
          </w:tcPr>
          <w:p w14:paraId="18E46133">
            <w:pPr>
              <w:spacing w:after="0" w:line="247" w:lineRule="auto"/>
              <w:jc w:val="left"/>
            </w:pPr>
            <w:r>
              <w:rPr>
                <w:rFonts w:ascii="Aptos" w:hAnsi="Aptos"/>
                <w:b w:val="0"/>
                <w:sz w:val="14"/>
              </w:rPr>
              <w:t>Validate imports, neutralize formula-like values, audit exports, authorize data scope</w:t>
            </w:r>
          </w:p>
        </w:tc>
        <w:tc>
          <w:tcPr>
            <w:tcW w:w="1195" w:type="dxa"/>
            <w:shd w:val="clear" w:color="auto" w:fill="F4F8FB"/>
            <w:tcMar>
              <w:top w:w="85" w:type="dxa"/>
              <w:left w:w="110" w:type="dxa"/>
              <w:bottom w:w="85" w:type="dxa"/>
              <w:right w:w="110" w:type="dxa"/>
            </w:tcMar>
            <w:vAlign w:val="center"/>
          </w:tcPr>
          <w:p w14:paraId="27516E3C">
            <w:pPr>
              <w:spacing w:after="0" w:line="247" w:lineRule="auto"/>
              <w:jc w:val="left"/>
            </w:pPr>
            <w:r>
              <w:rPr>
                <w:rFonts w:ascii="Aptos" w:hAnsi="Aptos"/>
                <w:b w:val="0"/>
                <w:sz w:val="14"/>
              </w:rPr>
              <w:t>29, 34, 48</w:t>
            </w:r>
          </w:p>
        </w:tc>
      </w:tr>
      <w:tr w14:paraId="5C284A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656" w:type="dxa"/>
            <w:tcMar>
              <w:top w:w="85" w:type="dxa"/>
              <w:left w:w="110" w:type="dxa"/>
              <w:bottom w:w="85" w:type="dxa"/>
              <w:right w:w="110" w:type="dxa"/>
            </w:tcMar>
            <w:vAlign w:val="center"/>
          </w:tcPr>
          <w:p w14:paraId="473CB0E5">
            <w:pPr>
              <w:spacing w:after="0" w:line="247" w:lineRule="auto"/>
              <w:jc w:val="left"/>
            </w:pPr>
            <w:r>
              <w:rPr>
                <w:rFonts w:ascii="Aptos" w:hAnsi="Aptos"/>
                <w:b/>
                <w:sz w:val="14"/>
              </w:rPr>
              <w:t>Secrets and deployment</w:t>
            </w:r>
          </w:p>
        </w:tc>
        <w:tc>
          <w:tcPr>
            <w:tcW w:w="2952" w:type="dxa"/>
            <w:tcMar>
              <w:top w:w="85" w:type="dxa"/>
              <w:left w:w="110" w:type="dxa"/>
              <w:bottom w:w="85" w:type="dxa"/>
              <w:right w:w="110" w:type="dxa"/>
            </w:tcMar>
            <w:vAlign w:val="center"/>
          </w:tcPr>
          <w:p w14:paraId="2E669292">
            <w:pPr>
              <w:spacing w:after="0" w:line="247" w:lineRule="auto"/>
              <w:jc w:val="center"/>
            </w:pPr>
            <w:r>
              <w:rPr>
                <w:rFonts w:ascii="Aptos" w:hAnsi="Aptos"/>
                <w:b w:val="0"/>
                <w:sz w:val="14"/>
              </w:rPr>
              <w:t>Credentials committed to source control or exposed through logs/CI</w:t>
            </w:r>
          </w:p>
        </w:tc>
        <w:tc>
          <w:tcPr>
            <w:tcW w:w="893" w:type="dxa"/>
            <w:tcMar>
              <w:top w:w="85" w:type="dxa"/>
              <w:left w:w="110" w:type="dxa"/>
              <w:bottom w:w="85" w:type="dxa"/>
              <w:right w:w="110" w:type="dxa"/>
            </w:tcMar>
            <w:vAlign w:val="center"/>
          </w:tcPr>
          <w:p w14:paraId="0BD15A5B">
            <w:pPr>
              <w:spacing w:after="0" w:line="247" w:lineRule="auto"/>
              <w:jc w:val="left"/>
            </w:pPr>
            <w:r>
              <w:rPr>
                <w:rFonts w:ascii="Aptos" w:hAnsi="Aptos"/>
                <w:b w:val="0"/>
                <w:sz w:val="14"/>
              </w:rPr>
              <w:t>High</w:t>
            </w:r>
          </w:p>
        </w:tc>
        <w:tc>
          <w:tcPr>
            <w:tcW w:w="3816" w:type="dxa"/>
            <w:tcMar>
              <w:top w:w="85" w:type="dxa"/>
              <w:left w:w="110" w:type="dxa"/>
              <w:bottom w:w="85" w:type="dxa"/>
              <w:right w:w="110" w:type="dxa"/>
            </w:tcMar>
            <w:vAlign w:val="center"/>
          </w:tcPr>
          <w:p w14:paraId="682C79DE">
            <w:pPr>
              <w:spacing w:after="0" w:line="247" w:lineRule="auto"/>
              <w:jc w:val="left"/>
            </w:pPr>
            <w:r>
              <w:rPr>
                <w:rFonts w:ascii="Aptos" w:hAnsi="Aptos"/>
                <w:b w:val="0"/>
                <w:sz w:val="14"/>
              </w:rPr>
              <w:t>Secret storage, secret rotation, log hygiene, least privilege</w:t>
            </w:r>
          </w:p>
        </w:tc>
        <w:tc>
          <w:tcPr>
            <w:tcW w:w="1195" w:type="dxa"/>
            <w:tcMar>
              <w:top w:w="85" w:type="dxa"/>
              <w:left w:w="110" w:type="dxa"/>
              <w:bottom w:w="85" w:type="dxa"/>
              <w:right w:w="110" w:type="dxa"/>
            </w:tcMar>
            <w:vAlign w:val="center"/>
          </w:tcPr>
          <w:p w14:paraId="16D5DE41">
            <w:pPr>
              <w:spacing w:after="0" w:line="247" w:lineRule="auto"/>
              <w:jc w:val="left"/>
            </w:pPr>
            <w:r>
              <w:rPr>
                <w:rFonts w:ascii="Aptos" w:hAnsi="Aptos"/>
                <w:b w:val="0"/>
                <w:sz w:val="14"/>
              </w:rPr>
              <w:t>04, 31, 50-51</w:t>
            </w:r>
          </w:p>
        </w:tc>
      </w:tr>
      <w:tr w14:paraId="1930E7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656" w:type="dxa"/>
            <w:shd w:val="clear" w:color="auto" w:fill="F4F8FB"/>
            <w:tcMar>
              <w:top w:w="85" w:type="dxa"/>
              <w:left w:w="110" w:type="dxa"/>
              <w:bottom w:w="85" w:type="dxa"/>
              <w:right w:w="110" w:type="dxa"/>
            </w:tcMar>
            <w:vAlign w:val="center"/>
          </w:tcPr>
          <w:p w14:paraId="29BB7E62">
            <w:pPr>
              <w:spacing w:after="0" w:line="247" w:lineRule="auto"/>
              <w:jc w:val="left"/>
            </w:pPr>
            <w:r>
              <w:rPr>
                <w:rFonts w:ascii="Aptos" w:hAnsi="Aptos"/>
                <w:b/>
                <w:sz w:val="14"/>
              </w:rPr>
              <w:t>Database and backups</w:t>
            </w:r>
          </w:p>
        </w:tc>
        <w:tc>
          <w:tcPr>
            <w:tcW w:w="2952" w:type="dxa"/>
            <w:shd w:val="clear" w:color="auto" w:fill="F4F8FB"/>
            <w:tcMar>
              <w:top w:w="85" w:type="dxa"/>
              <w:left w:w="110" w:type="dxa"/>
              <w:bottom w:w="85" w:type="dxa"/>
              <w:right w:w="110" w:type="dxa"/>
            </w:tcMar>
            <w:vAlign w:val="center"/>
          </w:tcPr>
          <w:p w14:paraId="4DD59620">
            <w:pPr>
              <w:spacing w:after="0" w:line="247" w:lineRule="auto"/>
              <w:jc w:val="center"/>
            </w:pPr>
            <w:r>
              <w:rPr>
                <w:rFonts w:ascii="Aptos" w:hAnsi="Aptos"/>
                <w:b w:val="0"/>
                <w:sz w:val="14"/>
              </w:rPr>
              <w:t>Direct data modification, destructive deletion, backup exposure, or failed recovery</w:t>
            </w:r>
          </w:p>
        </w:tc>
        <w:tc>
          <w:tcPr>
            <w:tcW w:w="893" w:type="dxa"/>
            <w:shd w:val="clear" w:color="auto" w:fill="F4F8FB"/>
            <w:tcMar>
              <w:top w:w="85" w:type="dxa"/>
              <w:left w:w="110" w:type="dxa"/>
              <w:bottom w:w="85" w:type="dxa"/>
              <w:right w:w="110" w:type="dxa"/>
            </w:tcMar>
            <w:vAlign w:val="center"/>
          </w:tcPr>
          <w:p w14:paraId="67856D69">
            <w:pPr>
              <w:spacing w:after="0" w:line="247" w:lineRule="auto"/>
              <w:jc w:val="left"/>
            </w:pPr>
            <w:r>
              <w:rPr>
                <w:rFonts w:ascii="Aptos" w:hAnsi="Aptos"/>
                <w:b w:val="0"/>
                <w:sz w:val="14"/>
              </w:rPr>
              <w:t>High</w:t>
            </w:r>
          </w:p>
        </w:tc>
        <w:tc>
          <w:tcPr>
            <w:tcW w:w="3816" w:type="dxa"/>
            <w:shd w:val="clear" w:color="auto" w:fill="F4F8FB"/>
            <w:tcMar>
              <w:top w:w="85" w:type="dxa"/>
              <w:left w:w="110" w:type="dxa"/>
              <w:bottom w:w="85" w:type="dxa"/>
              <w:right w:w="110" w:type="dxa"/>
            </w:tcMar>
            <w:vAlign w:val="center"/>
          </w:tcPr>
          <w:p w14:paraId="36584A84">
            <w:pPr>
              <w:spacing w:after="0" w:line="247" w:lineRule="auto"/>
              <w:jc w:val="left"/>
            </w:pPr>
            <w:r>
              <w:rPr>
                <w:rFonts w:ascii="Aptos" w:hAnsi="Aptos"/>
                <w:b w:val="0"/>
                <w:sz w:val="14"/>
              </w:rPr>
              <w:t>Least-privilege DB roles, append-only audit/history controls, protected backups and tested restores</w:t>
            </w:r>
          </w:p>
        </w:tc>
        <w:tc>
          <w:tcPr>
            <w:tcW w:w="1195" w:type="dxa"/>
            <w:shd w:val="clear" w:color="auto" w:fill="F4F8FB"/>
            <w:tcMar>
              <w:top w:w="85" w:type="dxa"/>
              <w:left w:w="110" w:type="dxa"/>
              <w:bottom w:w="85" w:type="dxa"/>
              <w:right w:w="110" w:type="dxa"/>
            </w:tcMar>
            <w:vAlign w:val="center"/>
          </w:tcPr>
          <w:p w14:paraId="6EA8AE98">
            <w:pPr>
              <w:spacing w:after="0" w:line="247" w:lineRule="auto"/>
              <w:jc w:val="left"/>
            </w:pPr>
            <w:r>
              <w:rPr>
                <w:rFonts w:ascii="Aptos" w:hAnsi="Aptos"/>
                <w:b w:val="0"/>
                <w:sz w:val="14"/>
              </w:rPr>
              <w:t>18-19, 30, 51</w:t>
            </w:r>
          </w:p>
        </w:tc>
      </w:tr>
      <w:tr w14:paraId="66DFBD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656" w:type="dxa"/>
            <w:tcMar>
              <w:top w:w="85" w:type="dxa"/>
              <w:left w:w="110" w:type="dxa"/>
              <w:bottom w:w="85" w:type="dxa"/>
              <w:right w:w="110" w:type="dxa"/>
            </w:tcMar>
            <w:vAlign w:val="center"/>
          </w:tcPr>
          <w:p w14:paraId="75810353">
            <w:pPr>
              <w:spacing w:after="0" w:line="247" w:lineRule="auto"/>
              <w:jc w:val="left"/>
            </w:pPr>
            <w:r>
              <w:rPr>
                <w:rFonts w:ascii="Aptos" w:hAnsi="Aptos"/>
                <w:b/>
                <w:sz w:val="14"/>
              </w:rPr>
              <w:t>AI risk predictions</w:t>
            </w:r>
          </w:p>
        </w:tc>
        <w:tc>
          <w:tcPr>
            <w:tcW w:w="2952" w:type="dxa"/>
            <w:tcMar>
              <w:top w:w="85" w:type="dxa"/>
              <w:left w:w="110" w:type="dxa"/>
              <w:bottom w:w="85" w:type="dxa"/>
              <w:right w:w="110" w:type="dxa"/>
            </w:tcMar>
            <w:vAlign w:val="center"/>
          </w:tcPr>
          <w:p w14:paraId="7A087521">
            <w:pPr>
              <w:spacing w:after="0" w:line="247" w:lineRule="auto"/>
              <w:jc w:val="center"/>
            </w:pPr>
            <w:r>
              <w:rPr>
                <w:rFonts w:ascii="Aptos" w:hAnsi="Aptos"/>
                <w:b w:val="0"/>
                <w:sz w:val="14"/>
              </w:rPr>
              <w:t>Manipulated inputs, unauthorized viewing, automatic operational action, or unavailable prediction service</w:t>
            </w:r>
          </w:p>
        </w:tc>
        <w:tc>
          <w:tcPr>
            <w:tcW w:w="893" w:type="dxa"/>
            <w:tcMar>
              <w:top w:w="85" w:type="dxa"/>
              <w:left w:w="110" w:type="dxa"/>
              <w:bottom w:w="85" w:type="dxa"/>
              <w:right w:w="110" w:type="dxa"/>
            </w:tcMar>
            <w:vAlign w:val="center"/>
          </w:tcPr>
          <w:p w14:paraId="74F7B6C6">
            <w:pPr>
              <w:spacing w:after="0" w:line="247" w:lineRule="auto"/>
              <w:jc w:val="left"/>
            </w:pPr>
            <w:r>
              <w:rPr>
                <w:rFonts w:ascii="Aptos" w:hAnsi="Aptos"/>
                <w:b w:val="0"/>
                <w:sz w:val="14"/>
              </w:rPr>
              <w:t>High</w:t>
            </w:r>
          </w:p>
        </w:tc>
        <w:tc>
          <w:tcPr>
            <w:tcW w:w="3816" w:type="dxa"/>
            <w:tcMar>
              <w:top w:w="85" w:type="dxa"/>
              <w:left w:w="110" w:type="dxa"/>
              <w:bottom w:w="85" w:type="dxa"/>
              <w:right w:w="110" w:type="dxa"/>
            </w:tcMar>
            <w:vAlign w:val="center"/>
          </w:tcPr>
          <w:p w14:paraId="3157A588">
            <w:pPr>
              <w:spacing w:after="0" w:line="247" w:lineRule="auto"/>
              <w:jc w:val="left"/>
            </w:pPr>
            <w:r>
              <w:rPr>
                <w:rFonts w:ascii="Aptos" w:hAnsi="Aptos"/>
                <w:b w:val="0"/>
                <w:sz w:val="14"/>
              </w:rPr>
              <w:t>Traceable inputs, authorized review, human confirmation, model log, deterministic fallback</w:t>
            </w:r>
          </w:p>
        </w:tc>
        <w:tc>
          <w:tcPr>
            <w:tcW w:w="1195" w:type="dxa"/>
            <w:tcMar>
              <w:top w:w="85" w:type="dxa"/>
              <w:left w:w="110" w:type="dxa"/>
              <w:bottom w:w="85" w:type="dxa"/>
              <w:right w:w="110" w:type="dxa"/>
            </w:tcMar>
            <w:vAlign w:val="center"/>
          </w:tcPr>
          <w:p w14:paraId="0FB3963A">
            <w:pPr>
              <w:spacing w:after="0" w:line="247" w:lineRule="auto"/>
              <w:jc w:val="left"/>
            </w:pPr>
            <w:r>
              <w:rPr>
                <w:rFonts w:ascii="Aptos" w:hAnsi="Aptos"/>
                <w:b w:val="0"/>
                <w:sz w:val="14"/>
              </w:rPr>
              <w:t>37-40, 52-53</w:t>
            </w:r>
          </w:p>
        </w:tc>
      </w:tr>
      <w:tr w14:paraId="536732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656" w:type="dxa"/>
            <w:shd w:val="clear" w:color="auto" w:fill="F4F8FB"/>
            <w:tcMar>
              <w:top w:w="85" w:type="dxa"/>
              <w:left w:w="110" w:type="dxa"/>
              <w:bottom w:w="85" w:type="dxa"/>
              <w:right w:w="110" w:type="dxa"/>
            </w:tcMar>
            <w:vAlign w:val="center"/>
          </w:tcPr>
          <w:p w14:paraId="35524A5B">
            <w:pPr>
              <w:spacing w:after="0" w:line="247" w:lineRule="auto"/>
              <w:jc w:val="left"/>
            </w:pPr>
            <w:r>
              <w:rPr>
                <w:rFonts w:ascii="Aptos" w:hAnsi="Aptos"/>
                <w:b/>
                <w:sz w:val="14"/>
              </w:rPr>
              <w:t>Availability</w:t>
            </w:r>
          </w:p>
        </w:tc>
        <w:tc>
          <w:tcPr>
            <w:tcW w:w="2952" w:type="dxa"/>
            <w:shd w:val="clear" w:color="auto" w:fill="F4F8FB"/>
            <w:tcMar>
              <w:top w:w="85" w:type="dxa"/>
              <w:left w:w="110" w:type="dxa"/>
              <w:bottom w:w="85" w:type="dxa"/>
              <w:right w:w="110" w:type="dxa"/>
            </w:tcMar>
            <w:vAlign w:val="center"/>
          </w:tcPr>
          <w:p w14:paraId="05A9177C">
            <w:pPr>
              <w:spacing w:after="0" w:line="247" w:lineRule="auto"/>
              <w:jc w:val="center"/>
            </w:pPr>
            <w:r>
              <w:rPr>
                <w:rFonts w:ascii="Aptos" w:hAnsi="Aptos"/>
                <w:b w:val="0"/>
                <w:sz w:val="14"/>
              </w:rPr>
              <w:t>Denial of service or resource exhaustion of API, import, or prediction workloads</w:t>
            </w:r>
          </w:p>
        </w:tc>
        <w:tc>
          <w:tcPr>
            <w:tcW w:w="893" w:type="dxa"/>
            <w:shd w:val="clear" w:color="auto" w:fill="F4F8FB"/>
            <w:tcMar>
              <w:top w:w="85" w:type="dxa"/>
              <w:left w:w="110" w:type="dxa"/>
              <w:bottom w:w="85" w:type="dxa"/>
              <w:right w:w="110" w:type="dxa"/>
            </w:tcMar>
            <w:vAlign w:val="center"/>
          </w:tcPr>
          <w:p w14:paraId="1BD2C586">
            <w:pPr>
              <w:spacing w:after="0" w:line="247" w:lineRule="auto"/>
              <w:jc w:val="left"/>
            </w:pPr>
            <w:r>
              <w:rPr>
                <w:rFonts w:ascii="Aptos" w:hAnsi="Aptos"/>
                <w:b w:val="0"/>
                <w:sz w:val="14"/>
              </w:rPr>
              <w:t>Medium</w:t>
            </w:r>
          </w:p>
        </w:tc>
        <w:tc>
          <w:tcPr>
            <w:tcW w:w="3816" w:type="dxa"/>
            <w:shd w:val="clear" w:color="auto" w:fill="F4F8FB"/>
            <w:tcMar>
              <w:top w:w="85" w:type="dxa"/>
              <w:left w:w="110" w:type="dxa"/>
              <w:bottom w:w="85" w:type="dxa"/>
              <w:right w:w="110" w:type="dxa"/>
            </w:tcMar>
            <w:vAlign w:val="center"/>
          </w:tcPr>
          <w:p w14:paraId="59161C56">
            <w:pPr>
              <w:spacing w:after="0" w:line="247" w:lineRule="auto"/>
              <w:jc w:val="left"/>
            </w:pPr>
            <w:r>
              <w:rPr>
                <w:rFonts w:ascii="Aptos" w:hAnsi="Aptos"/>
                <w:b w:val="0"/>
                <w:sz w:val="14"/>
              </w:rPr>
              <w:t>Rate limits, size limits, job/resource limits, monitoring and alerting</w:t>
            </w:r>
          </w:p>
        </w:tc>
        <w:tc>
          <w:tcPr>
            <w:tcW w:w="1195" w:type="dxa"/>
            <w:shd w:val="clear" w:color="auto" w:fill="F4F8FB"/>
            <w:tcMar>
              <w:top w:w="85" w:type="dxa"/>
              <w:left w:w="110" w:type="dxa"/>
              <w:bottom w:w="85" w:type="dxa"/>
              <w:right w:w="110" w:type="dxa"/>
            </w:tcMar>
            <w:vAlign w:val="center"/>
          </w:tcPr>
          <w:p w14:paraId="403B0659">
            <w:pPr>
              <w:spacing w:after="0" w:line="247" w:lineRule="auto"/>
              <w:jc w:val="left"/>
            </w:pPr>
            <w:r>
              <w:rPr>
                <w:rFonts w:ascii="Aptos" w:hAnsi="Aptos"/>
                <w:b w:val="0"/>
                <w:sz w:val="14"/>
              </w:rPr>
              <w:t>25, 41, 49</w:t>
            </w:r>
          </w:p>
        </w:tc>
      </w:tr>
    </w:tbl>
    <w:p w14:paraId="2B4B3256">
      <w:pPr>
        <w:spacing w:after="40"/>
      </w:pPr>
    </w:p>
    <w:p w14:paraId="217DC51E">
      <w:pPr>
        <w:pStyle w:val="2"/>
        <w:spacing w:before="220" w:after="80"/>
      </w:pPr>
      <w:r>
        <w:rPr>
          <w:rFonts w:ascii="Aptos" w:hAnsi="Aptos"/>
          <w:b/>
          <w:sz w:val="28"/>
        </w:rPr>
        <w:t>4 Primary Attack Paths</w:t>
      </w:r>
    </w:p>
    <w:p w14:paraId="7C9CA8CE">
      <w:pPr>
        <w:pStyle w:val="23"/>
        <w:spacing w:after="60"/>
      </w:pPr>
      <w:r>
        <w:rPr>
          <w:rFonts w:ascii="Aptos" w:hAnsi="Aptos"/>
          <w:b w:val="0"/>
          <w:sz w:val="20"/>
        </w:rPr>
        <w:t>A normal user alters an object identifier in a request to reach another college's invoice, work order, or attachment. Backend object and scope checks must deny the request.</w:t>
      </w:r>
    </w:p>
    <w:p w14:paraId="514FBC2C">
      <w:pPr>
        <w:pStyle w:val="23"/>
        <w:spacing w:after="60"/>
      </w:pPr>
      <w:r>
        <w:rPr>
          <w:rFonts w:ascii="Aptos" w:hAnsi="Aptos"/>
          <w:b w:val="0"/>
          <w:sz w:val="20"/>
        </w:rPr>
        <w:t>A requester submits a transfer or retirement and attempts to approve it with the same account. The workflow must enforce a distinct authorized approver.</w:t>
      </w:r>
    </w:p>
    <w:p w14:paraId="5692859E">
      <w:pPr>
        <w:pStyle w:val="23"/>
        <w:spacing w:after="60"/>
      </w:pPr>
      <w:r>
        <w:rPr>
          <w:rFonts w:ascii="Aptos" w:hAnsi="Aptos"/>
          <w:b w:val="0"/>
          <w:sz w:val="20"/>
        </w:rPr>
        <w:t>An attacker uploads a harmful or disguised attachment and attempts to retrieve it using a guessed storage URL. The file must remain private, scanned, and accessible only through authorized short-lived access.</w:t>
      </w:r>
    </w:p>
    <w:p w14:paraId="03162CDE">
      <w:pPr>
        <w:pStyle w:val="23"/>
        <w:spacing w:after="60"/>
      </w:pPr>
      <w:r>
        <w:rPr>
          <w:rFonts w:ascii="Aptos" w:hAnsi="Aptos"/>
          <w:b w:val="0"/>
          <w:sz w:val="20"/>
        </w:rPr>
        <w:t>An attacker submits unsafe query or update fields through an API or import. Parameterization, allow-listed update fields, and input validation must prevent database manipulation and privilege changes.</w:t>
      </w:r>
    </w:p>
    <w:p w14:paraId="4086ADDF">
      <w:pPr>
        <w:pStyle w:val="23"/>
        <w:spacing w:after="60"/>
      </w:pPr>
      <w:r>
        <w:rPr>
          <w:rFonts w:ascii="Aptos" w:hAnsi="Aptos"/>
          <w:b w:val="0"/>
          <w:sz w:val="20"/>
        </w:rPr>
        <w:t>A compromised account or AI input attempts to create an automatic maintenance or disposal outcome. Risk outputs must create a review queue only, with an auditable human decision and non-AI fallback.</w:t>
      </w:r>
    </w:p>
    <w:p w14:paraId="1D7C4FDC">
      <w:pPr>
        <w:pStyle w:val="2"/>
        <w:spacing w:before="220" w:after="80"/>
      </w:pPr>
      <w:r>
        <w:rPr>
          <w:rFonts w:ascii="Aptos" w:hAnsi="Aptos"/>
          <w:b/>
          <w:sz w:val="28"/>
        </w:rPr>
        <w:t>5 Risk Treatment and Verification</w:t>
      </w:r>
    </w:p>
    <w:p w14:paraId="2FD30475">
      <w:pPr>
        <w:spacing w:after="120" w:line="264" w:lineRule="auto"/>
      </w:pPr>
      <w:r>
        <w:rPr>
          <w:rFonts w:ascii="Aptos" w:hAnsi="Aptos"/>
          <w:b w:val="0"/>
          <w:sz w:val="21"/>
        </w:rPr>
        <w:t>Critical and high risks must be addressed before release. Each mapped requirement must have a negative test proving that an unauthorized actor, a user from a sibling organizational scope, or a requester attempting self-approval cannot complete the protected action. File, authentication, export, au</w:t>
      </w:r>
      <w:bookmarkStart w:id="0" w:name="_GoBack"/>
      <w:bookmarkEnd w:id="0"/>
      <w:r>
        <w:rPr>
          <w:rFonts w:ascii="Aptos" w:hAnsi="Aptos"/>
          <w:b w:val="0"/>
          <w:sz w:val="21"/>
        </w:rPr>
        <w:t>dit, import, and AI controls must also be tested through failure scenarios.</w:t>
      </w:r>
    </w:p>
    <w:p w14:paraId="4D904824">
      <w:pPr>
        <w:pStyle w:val="2"/>
        <w:spacing w:before="220" w:after="80"/>
      </w:pPr>
      <w:r>
        <w:rPr>
          <w:rFonts w:ascii="Aptos" w:hAnsi="Aptos"/>
          <w:b/>
          <w:sz w:val="28"/>
        </w:rPr>
        <w:t>6 Residual Risk and Ownership</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08"/>
        <w:gridCol w:w="3408"/>
        <w:gridCol w:w="3408"/>
      </w:tblGrid>
      <w:tr w14:paraId="10F8AA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2304" w:type="dxa"/>
            <w:shd w:val="clear" w:color="auto" w:fill="1F4E78"/>
            <w:tcMar>
              <w:top w:w="85" w:type="dxa"/>
              <w:left w:w="110" w:type="dxa"/>
              <w:bottom w:w="85" w:type="dxa"/>
              <w:right w:w="110" w:type="dxa"/>
            </w:tcMar>
            <w:vAlign w:val="center"/>
          </w:tcPr>
          <w:p w14:paraId="5D68F6A9">
            <w:pPr>
              <w:jc w:val="center"/>
            </w:pPr>
            <w:r>
              <w:rPr>
                <w:rFonts w:ascii="Aptos" w:hAnsi="Aptos"/>
                <w:b/>
                <w:color w:val="FFFFFF"/>
                <w:sz w:val="17"/>
              </w:rPr>
              <w:t>Area</w:t>
            </w:r>
          </w:p>
        </w:tc>
        <w:tc>
          <w:tcPr>
            <w:tcW w:w="2304" w:type="dxa"/>
            <w:shd w:val="clear" w:color="auto" w:fill="1F4E78"/>
            <w:tcMar>
              <w:top w:w="85" w:type="dxa"/>
              <w:left w:w="110" w:type="dxa"/>
              <w:bottom w:w="85" w:type="dxa"/>
              <w:right w:w="110" w:type="dxa"/>
            </w:tcMar>
            <w:vAlign w:val="center"/>
          </w:tcPr>
          <w:p w14:paraId="3097D79C">
            <w:pPr>
              <w:jc w:val="center"/>
            </w:pPr>
            <w:r>
              <w:rPr>
                <w:rFonts w:ascii="Aptos" w:hAnsi="Aptos"/>
                <w:b/>
                <w:color w:val="FFFFFF"/>
                <w:sz w:val="17"/>
              </w:rPr>
              <w:t>Risk owner</w:t>
            </w:r>
          </w:p>
        </w:tc>
        <w:tc>
          <w:tcPr>
            <w:tcW w:w="4608" w:type="dxa"/>
            <w:shd w:val="clear" w:color="auto" w:fill="1F4E78"/>
            <w:tcMar>
              <w:top w:w="85" w:type="dxa"/>
              <w:left w:w="110" w:type="dxa"/>
              <w:bottom w:w="85" w:type="dxa"/>
              <w:right w:w="110" w:type="dxa"/>
            </w:tcMar>
            <w:vAlign w:val="center"/>
          </w:tcPr>
          <w:p w14:paraId="112D6E3E">
            <w:pPr>
              <w:jc w:val="left"/>
            </w:pPr>
            <w:r>
              <w:rPr>
                <w:rFonts w:ascii="Aptos" w:hAnsi="Aptos"/>
                <w:b/>
                <w:color w:val="FFFFFF"/>
                <w:sz w:val="17"/>
              </w:rPr>
              <w:t>Release evidence</w:t>
            </w:r>
          </w:p>
        </w:tc>
      </w:tr>
      <w:tr w14:paraId="15D754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304" w:type="dxa"/>
            <w:tcMar>
              <w:top w:w="85" w:type="dxa"/>
              <w:left w:w="110" w:type="dxa"/>
              <w:bottom w:w="85" w:type="dxa"/>
              <w:right w:w="110" w:type="dxa"/>
            </w:tcMar>
            <w:vAlign w:val="center"/>
          </w:tcPr>
          <w:p w14:paraId="568E8F53">
            <w:pPr>
              <w:spacing w:after="0" w:line="247" w:lineRule="auto"/>
              <w:jc w:val="left"/>
            </w:pPr>
            <w:r>
              <w:rPr>
                <w:rFonts w:ascii="Aptos" w:hAnsi="Aptos"/>
                <w:b/>
                <w:sz w:val="17"/>
              </w:rPr>
              <w:t>Authentication and API</w:t>
            </w:r>
          </w:p>
        </w:tc>
        <w:tc>
          <w:tcPr>
            <w:tcW w:w="2304" w:type="dxa"/>
            <w:tcMar>
              <w:top w:w="85" w:type="dxa"/>
              <w:left w:w="110" w:type="dxa"/>
              <w:bottom w:w="85" w:type="dxa"/>
              <w:right w:w="110" w:type="dxa"/>
            </w:tcMar>
            <w:vAlign w:val="center"/>
          </w:tcPr>
          <w:p w14:paraId="073BE0D7">
            <w:pPr>
              <w:spacing w:after="0" w:line="247" w:lineRule="auto"/>
              <w:jc w:val="center"/>
            </w:pPr>
            <w:r>
              <w:rPr>
                <w:rFonts w:ascii="Aptos" w:hAnsi="Aptos"/>
                <w:b w:val="0"/>
                <w:sz w:val="17"/>
              </w:rPr>
              <w:t>Backend and Security QA</w:t>
            </w:r>
          </w:p>
        </w:tc>
        <w:tc>
          <w:tcPr>
            <w:tcW w:w="4608" w:type="dxa"/>
            <w:tcMar>
              <w:top w:w="85" w:type="dxa"/>
              <w:left w:w="110" w:type="dxa"/>
              <w:bottom w:w="85" w:type="dxa"/>
              <w:right w:w="110" w:type="dxa"/>
            </w:tcMar>
            <w:vAlign w:val="center"/>
          </w:tcPr>
          <w:p w14:paraId="28A34BE2">
            <w:pPr>
              <w:spacing w:after="0" w:line="247" w:lineRule="auto"/>
              <w:jc w:val="left"/>
            </w:pPr>
            <w:r>
              <w:rPr>
                <w:rFonts w:ascii="Aptos" w:hAnsi="Aptos"/>
                <w:b w:val="0"/>
                <w:sz w:val="17"/>
              </w:rPr>
              <w:t>Expired/revoked token, brute-force, IDOR, injection, and unsafe-update tests pass.</w:t>
            </w:r>
          </w:p>
        </w:tc>
      </w:tr>
      <w:tr w14:paraId="4BA9EC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304" w:type="dxa"/>
            <w:shd w:val="clear" w:color="auto" w:fill="F4F8FB"/>
            <w:tcMar>
              <w:top w:w="85" w:type="dxa"/>
              <w:left w:w="110" w:type="dxa"/>
              <w:bottom w:w="85" w:type="dxa"/>
              <w:right w:w="110" w:type="dxa"/>
            </w:tcMar>
            <w:vAlign w:val="center"/>
          </w:tcPr>
          <w:p w14:paraId="226FC99C">
            <w:pPr>
              <w:spacing w:after="0" w:line="247" w:lineRule="auto"/>
              <w:jc w:val="left"/>
            </w:pPr>
            <w:r>
              <w:rPr>
                <w:rFonts w:ascii="Aptos" w:hAnsi="Aptos"/>
                <w:b/>
                <w:sz w:val="17"/>
              </w:rPr>
              <w:t>Authorization and workflows</w:t>
            </w:r>
          </w:p>
        </w:tc>
        <w:tc>
          <w:tcPr>
            <w:tcW w:w="2304" w:type="dxa"/>
            <w:shd w:val="clear" w:color="auto" w:fill="F4F8FB"/>
            <w:tcMar>
              <w:top w:w="85" w:type="dxa"/>
              <w:left w:w="110" w:type="dxa"/>
              <w:bottom w:w="85" w:type="dxa"/>
              <w:right w:w="110" w:type="dxa"/>
            </w:tcMar>
            <w:vAlign w:val="center"/>
          </w:tcPr>
          <w:p w14:paraId="5ADA4A83">
            <w:pPr>
              <w:spacing w:after="0" w:line="247" w:lineRule="auto"/>
              <w:jc w:val="center"/>
            </w:pPr>
            <w:r>
              <w:rPr>
                <w:rFonts w:ascii="Aptos" w:hAnsi="Aptos"/>
                <w:b w:val="0"/>
                <w:sz w:val="17"/>
              </w:rPr>
              <w:t>Backend and Product owner</w:t>
            </w:r>
          </w:p>
        </w:tc>
        <w:tc>
          <w:tcPr>
            <w:tcW w:w="4608" w:type="dxa"/>
            <w:shd w:val="clear" w:color="auto" w:fill="F4F8FB"/>
            <w:tcMar>
              <w:top w:w="85" w:type="dxa"/>
              <w:left w:w="110" w:type="dxa"/>
              <w:bottom w:w="85" w:type="dxa"/>
              <w:right w:w="110" w:type="dxa"/>
            </w:tcMar>
            <w:vAlign w:val="center"/>
          </w:tcPr>
          <w:p w14:paraId="42CEC4ED">
            <w:pPr>
              <w:spacing w:after="0" w:line="247" w:lineRule="auto"/>
              <w:jc w:val="left"/>
            </w:pPr>
            <w:r>
              <w:rPr>
                <w:rFonts w:ascii="Aptos" w:hAnsi="Aptos"/>
                <w:b w:val="0"/>
                <w:sz w:val="17"/>
              </w:rPr>
              <w:t>Scope and self-approval tests pass; transfer and retirement histories remain intact.</w:t>
            </w:r>
          </w:p>
        </w:tc>
      </w:tr>
      <w:tr w14:paraId="27B963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304" w:type="dxa"/>
            <w:tcMar>
              <w:top w:w="85" w:type="dxa"/>
              <w:left w:w="110" w:type="dxa"/>
              <w:bottom w:w="85" w:type="dxa"/>
              <w:right w:w="110" w:type="dxa"/>
            </w:tcMar>
            <w:vAlign w:val="center"/>
          </w:tcPr>
          <w:p w14:paraId="0FBE06C5">
            <w:pPr>
              <w:spacing w:after="0" w:line="247" w:lineRule="auto"/>
              <w:jc w:val="left"/>
            </w:pPr>
            <w:r>
              <w:rPr>
                <w:rFonts w:ascii="Aptos" w:hAnsi="Aptos"/>
                <w:b/>
                <w:sz w:val="17"/>
              </w:rPr>
              <w:t>Files and documents</w:t>
            </w:r>
          </w:p>
        </w:tc>
        <w:tc>
          <w:tcPr>
            <w:tcW w:w="2304" w:type="dxa"/>
            <w:tcMar>
              <w:top w:w="85" w:type="dxa"/>
              <w:left w:w="110" w:type="dxa"/>
              <w:bottom w:w="85" w:type="dxa"/>
              <w:right w:w="110" w:type="dxa"/>
            </w:tcMar>
            <w:vAlign w:val="center"/>
          </w:tcPr>
          <w:p w14:paraId="0D996C44">
            <w:pPr>
              <w:spacing w:after="0" w:line="247" w:lineRule="auto"/>
              <w:jc w:val="center"/>
            </w:pPr>
            <w:r>
              <w:rPr>
                <w:rFonts w:ascii="Aptos" w:hAnsi="Aptos"/>
                <w:b w:val="0"/>
                <w:sz w:val="17"/>
              </w:rPr>
              <w:t>DevOps and Security QA</w:t>
            </w:r>
          </w:p>
        </w:tc>
        <w:tc>
          <w:tcPr>
            <w:tcW w:w="4608" w:type="dxa"/>
            <w:tcMar>
              <w:top w:w="85" w:type="dxa"/>
              <w:left w:w="110" w:type="dxa"/>
              <w:bottom w:w="85" w:type="dxa"/>
              <w:right w:w="110" w:type="dxa"/>
            </w:tcMar>
            <w:vAlign w:val="center"/>
          </w:tcPr>
          <w:p w14:paraId="565215FC">
            <w:pPr>
              <w:spacing w:after="0" w:line="247" w:lineRule="auto"/>
              <w:jc w:val="left"/>
            </w:pPr>
            <w:r>
              <w:rPr>
                <w:rFonts w:ascii="Aptos" w:hAnsi="Aptos"/>
                <w:b w:val="0"/>
                <w:sz w:val="17"/>
              </w:rPr>
              <w:t>Private storage, malware scan, authorized download, and quarantine tests pass.</w:t>
            </w:r>
          </w:p>
        </w:tc>
      </w:tr>
      <w:tr w14:paraId="06CA7C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304" w:type="dxa"/>
            <w:shd w:val="clear" w:color="auto" w:fill="F4F8FB"/>
            <w:tcMar>
              <w:top w:w="85" w:type="dxa"/>
              <w:left w:w="110" w:type="dxa"/>
              <w:bottom w:w="85" w:type="dxa"/>
              <w:right w:w="110" w:type="dxa"/>
            </w:tcMar>
            <w:vAlign w:val="center"/>
          </w:tcPr>
          <w:p w14:paraId="20C77E2F">
            <w:pPr>
              <w:spacing w:after="0" w:line="247" w:lineRule="auto"/>
              <w:jc w:val="left"/>
            </w:pPr>
            <w:r>
              <w:rPr>
                <w:rFonts w:ascii="Aptos" w:hAnsi="Aptos"/>
                <w:b/>
                <w:sz w:val="17"/>
              </w:rPr>
              <w:t>Database and audit</w:t>
            </w:r>
          </w:p>
        </w:tc>
        <w:tc>
          <w:tcPr>
            <w:tcW w:w="2304" w:type="dxa"/>
            <w:shd w:val="clear" w:color="auto" w:fill="F4F8FB"/>
            <w:tcMar>
              <w:top w:w="85" w:type="dxa"/>
              <w:left w:w="110" w:type="dxa"/>
              <w:bottom w:w="85" w:type="dxa"/>
              <w:right w:w="110" w:type="dxa"/>
            </w:tcMar>
            <w:vAlign w:val="center"/>
          </w:tcPr>
          <w:p w14:paraId="587B3D43">
            <w:pPr>
              <w:spacing w:after="0" w:line="247" w:lineRule="auto"/>
              <w:jc w:val="center"/>
            </w:pPr>
            <w:r>
              <w:rPr>
                <w:rFonts w:ascii="Aptos" w:hAnsi="Aptos"/>
                <w:b w:val="0"/>
                <w:sz w:val="17"/>
              </w:rPr>
              <w:t>Backend and DevOps</w:t>
            </w:r>
          </w:p>
        </w:tc>
        <w:tc>
          <w:tcPr>
            <w:tcW w:w="4608" w:type="dxa"/>
            <w:shd w:val="clear" w:color="auto" w:fill="F4F8FB"/>
            <w:tcMar>
              <w:top w:w="85" w:type="dxa"/>
              <w:left w:w="110" w:type="dxa"/>
              <w:bottom w:w="85" w:type="dxa"/>
              <w:right w:w="110" w:type="dxa"/>
            </w:tcMar>
            <w:vAlign w:val="center"/>
          </w:tcPr>
          <w:p w14:paraId="49190418">
            <w:pPr>
              <w:spacing w:after="0" w:line="247" w:lineRule="auto"/>
              <w:jc w:val="left"/>
            </w:pPr>
            <w:r>
              <w:rPr>
                <w:rFonts w:ascii="Aptos" w:hAnsi="Aptos"/>
                <w:b w:val="0"/>
                <w:sz w:val="17"/>
              </w:rPr>
              <w:t>Least-privilege roles, backup restore, append-only history, and audit-event tests pass.</w:t>
            </w:r>
          </w:p>
        </w:tc>
      </w:tr>
      <w:tr w14:paraId="201A51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304" w:type="dxa"/>
            <w:tcMar>
              <w:top w:w="85" w:type="dxa"/>
              <w:left w:w="110" w:type="dxa"/>
              <w:bottom w:w="85" w:type="dxa"/>
              <w:right w:w="110" w:type="dxa"/>
            </w:tcMar>
            <w:vAlign w:val="center"/>
          </w:tcPr>
          <w:p w14:paraId="2F1DF5AF">
            <w:pPr>
              <w:spacing w:after="0" w:line="247" w:lineRule="auto"/>
              <w:jc w:val="left"/>
            </w:pPr>
            <w:r>
              <w:rPr>
                <w:rFonts w:ascii="Aptos" w:hAnsi="Aptos"/>
                <w:b/>
                <w:sz w:val="17"/>
              </w:rPr>
              <w:t>AI service</w:t>
            </w:r>
          </w:p>
        </w:tc>
        <w:tc>
          <w:tcPr>
            <w:tcW w:w="2304" w:type="dxa"/>
            <w:tcMar>
              <w:top w:w="85" w:type="dxa"/>
              <w:left w:w="110" w:type="dxa"/>
              <w:bottom w:w="85" w:type="dxa"/>
              <w:right w:w="110" w:type="dxa"/>
            </w:tcMar>
            <w:vAlign w:val="center"/>
          </w:tcPr>
          <w:p w14:paraId="306A0BEB">
            <w:pPr>
              <w:spacing w:after="0" w:line="247" w:lineRule="auto"/>
              <w:jc w:val="center"/>
            </w:pPr>
            <w:r>
              <w:rPr>
                <w:rFonts w:ascii="Aptos" w:hAnsi="Aptos"/>
                <w:b w:val="0"/>
                <w:sz w:val="17"/>
              </w:rPr>
              <w:t>Insights and Product owner</w:t>
            </w:r>
          </w:p>
        </w:tc>
        <w:tc>
          <w:tcPr>
            <w:tcW w:w="4608" w:type="dxa"/>
            <w:tcMar>
              <w:top w:w="85" w:type="dxa"/>
              <w:left w:w="110" w:type="dxa"/>
              <w:bottom w:w="85" w:type="dxa"/>
              <w:right w:w="110" w:type="dxa"/>
            </w:tcMar>
            <w:vAlign w:val="center"/>
          </w:tcPr>
          <w:p w14:paraId="5446DEF5">
            <w:pPr>
              <w:spacing w:after="0" w:line="247" w:lineRule="auto"/>
              <w:jc w:val="left"/>
            </w:pPr>
            <w:r>
              <w:rPr>
                <w:rFonts w:ascii="Aptos" w:hAnsi="Aptos"/>
                <w:b w:val="0"/>
                <w:sz w:val="17"/>
              </w:rPr>
              <w:t>Human confirmation, model/version traceability, access control, and fallback demonstration pass.</w:t>
            </w:r>
          </w:p>
        </w:tc>
      </w:tr>
    </w:tbl>
    <w:p w14:paraId="11CA46F8">
      <w:pPr>
        <w:spacing w:after="40"/>
      </w:pPr>
    </w:p>
    <w:sectPr>
      <w:footerReference r:id="rId5" w:type="default"/>
      <w:pgSz w:w="12240" w:h="15840"/>
      <w:pgMar w:top="1008"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E0E75">
    <w:pPr>
      <w:pStyle w:val="18"/>
      <w:jc w:val="center"/>
    </w:pPr>
    <w:r>
      <w:rPr>
        <w:rFonts w:ascii="Aptos" w:hAnsi="Aptos"/>
        <w:b w:val="0"/>
        <w:color w:val="646464"/>
        <w:sz w:val="17"/>
      </w:rPr>
      <w:t>Threat Model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6037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770</Words>
  <Characters>5096</Characters>
  <Lines>0</Lines>
  <Paragraphs>0</Paragraphs>
  <TotalTime>4</TotalTime>
  <ScaleCrop>false</ScaleCrop>
  <LinksUpToDate>false</LinksUpToDate>
  <CharactersWithSpaces>5755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Mostafa Mohamed</cp:lastModifiedBy>
  <dcterms:modified xsi:type="dcterms:W3CDTF">2026-09-21T19:40:04Z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eyJoZGlkIjoiNGM5ODU5N2ZkZDc4NDljMjUzOGY4OWNhYjNkMTE0YWEiLCJ1c2VySWQiOiIxNDQzMTA5NjczMzk5MCJ9</vt:lpwstr>
  </property>
  <property fmtid="{D5CDD505-2E9C-101B-9397-08002B2CF9AE}" pid="3" name="KSOProductBuildVer">
    <vt:lpwstr>1033-12.1.0.28485</vt:lpwstr>
  </property>
  <property fmtid="{D5CDD505-2E9C-101B-9397-08002B2CF9AE}" pid="4" name="ICV">
    <vt:lpwstr>B8E5428E066E4AB09AC130AA4527CC68_12</vt:lpwstr>
  </property>
</Properties>
</file>