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4.png" ContentType="image/png"/>
  <Override PartName="/word/media/rId30.png" ContentType="image/png"/>
  <Override PartName="/word/media/rId33.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f3fe5d0cd9103291bf0e188b267d51d32be989b"/>
    <w:p>
      <w:pPr>
        <w:pStyle w:val="Heading1"/>
      </w:pPr>
      <w:r>
        <w:t xml:space="preserve">ICS570 Lab 2: Secure Student Records Portal — Evidence &amp; Security Analysis</w:t>
      </w:r>
    </w:p>
    <w:p>
      <w:pPr>
        <w:pStyle w:val="FirstParagraph"/>
      </w:pPr>
      <w:r>
        <w:rPr>
          <w:bCs/>
          <w:b/>
        </w:rPr>
        <w:t xml:space="preserve">Group 1:</w:t>
      </w:r>
      <w:r>
        <w:t xml:space="preserve"> </w:t>
      </w:r>
      <w:r>
        <w:t xml:space="preserve">Elise Oyilonye Kennedy-Angbo (G35532028) · Joseph Delali Kodzo Etse (G90412028) · Liza Ekua Ndede Aikins (G01322028) · Eugene Emmanuel Sewor (G25522028)</w:t>
      </w:r>
      <w:r>
        <w:br/>
      </w:r>
      <w:r>
        <w:rPr>
          <w:bCs/>
          <w:b/>
        </w:rPr>
        <w:t xml:space="preserve">Course:</w:t>
      </w:r>
      <w:r>
        <w:t xml:space="preserve"> </w:t>
      </w:r>
      <w:r>
        <w:t xml:space="preserve">ICS570 Cybersecurity Essentials, Module 3 ·</w:t>
      </w:r>
      <w:r>
        <w:t xml:space="preserve"> </w:t>
      </w:r>
      <w:r>
        <w:rPr>
          <w:bCs/>
          <w:b/>
        </w:rPr>
        <w:t xml:space="preserve">Origin / RP ID:</w:t>
      </w:r>
      <w:r>
        <w:t xml:space="preserve"> </w:t>
      </w:r>
      <w:r>
        <w:rPr>
          <w:rStyle w:val="VerbatimChar"/>
        </w:rPr>
        <w:t xml:space="preserve">http://localhost:3000</w:t>
      </w:r>
      <w:r>
        <w:t xml:space="preserve"> </w:t>
      </w:r>
      <w:r>
        <w:t xml:space="preserve">/</w:t>
      </w:r>
      <w:r>
        <w:t xml:space="preserve"> </w:t>
      </w:r>
      <w:r>
        <w:rPr>
          <w:rStyle w:val="VerbatimChar"/>
        </w:rPr>
        <w:t xml:space="preserve">localhost</w:t>
      </w:r>
      <w:r>
        <w:t xml:space="preserve"> </w:t>
      </w:r>
      <w:r>
        <w:t xml:space="preserve">·</w:t>
      </w:r>
      <w:r>
        <w:t xml:space="preserve"> </w:t>
      </w:r>
      <w:r>
        <w:rPr>
          <w:bCs/>
          <w:b/>
        </w:rPr>
        <w:t xml:space="preserve">Stack:</w:t>
      </w:r>
      <w:r>
        <w:t xml:space="preserve"> </w:t>
      </w:r>
      <w:r>
        <w:t xml:space="preserve">Node.js, Express,</w:t>
      </w:r>
      <w:r>
        <w:t xml:space="preserve"> </w:t>
      </w:r>
      <w:r>
        <w:rPr>
          <w:rStyle w:val="VerbatimChar"/>
        </w:rPr>
        <w:t xml:space="preserve">express-session</w:t>
      </w:r>
      <w:r>
        <w:t xml:space="preserve">,</w:t>
      </w:r>
      <w:r>
        <w:t xml:space="preserve"> </w:t>
      </w:r>
      <w:r>
        <w:rPr>
          <w:rStyle w:val="VerbatimChar"/>
        </w:rPr>
        <w:t xml:space="preserve">@simplewebauthn/server</w:t>
      </w:r>
      <w:r>
        <w:t xml:space="preserve">, native browser WebAuthn API</w:t>
      </w:r>
    </w:p>
    <w:bookmarkStart w:id="20" w:name="security-test-matrix-t1t8"/>
    <w:p>
      <w:pPr>
        <w:pStyle w:val="Heading2"/>
      </w:pPr>
      <w:r>
        <w:t xml:space="preserve">1. Security Test Matrix (T1–T8)</w:t>
      </w:r>
    </w:p>
    <w:p>
      <w:pPr>
        <w:pStyle w:val="FirstParagraph"/>
      </w:pPr>
      <w:r>
        <w:t xml:space="preserve">Every test passed in two independent runs. The first was the API harness,</w:t>
      </w:r>
      <w:r>
        <w:t xml:space="preserve"> </w:t>
      </w:r>
      <w:r>
        <w:rPr>
          <w:rStyle w:val="VerbatimChar"/>
        </w:rPr>
        <w:t xml:space="preserve">npm test</w:t>
      </w:r>
      <w:r>
        <w:t xml:space="preserve"> </w:t>
      </w:r>
      <w:r>
        <w:t xml:space="preserve">(results in</w:t>
      </w:r>
      <w:r>
        <w:t xml:space="preserve"> </w:t>
      </w:r>
      <w:r>
        <w:rPr>
          <w:rStyle w:val="VerbatimChar"/>
        </w:rPr>
        <w:t xml:space="preserve">evidence/test-run-log.json</w:t>
      </w:r>
      <w:r>
        <w:t xml:space="preserve">). The second was a real browser: Chromium driving the UI with a CDP virtual authenticator, the same mechanism as Chrome DevTools → WebAuthn (</w:t>
      </w:r>
      <w:r>
        <w:rPr>
          <w:rStyle w:val="VerbatimChar"/>
        </w:rPr>
        <w:t xml:space="preserve">scripts/browser-evidence.mjs</w:t>
      </w:r>
      <w:r>
        <w:t xml:space="preserve">, results in</w:t>
      </w:r>
      <w:r>
        <w:t xml:space="preserve"> </w:t>
      </w:r>
      <w:r>
        <w:rPr>
          <w:rStyle w:val="VerbatimChar"/>
        </w:rPr>
        <w:t xml:space="preserve">evidence/browser-run-log.json</w:t>
      </w:r>
      <w:r>
        <w:t xml:space="preserve"> </w:t>
      </w:r>
      <w:r>
        <w:t xml:space="preserve">and</w:t>
      </w:r>
      <w:r>
        <w:t xml:space="preserve"> </w:t>
      </w:r>
      <w:r>
        <w:rPr>
          <w:rStyle w:val="VerbatimChar"/>
        </w:rPr>
        <w:t xml:space="preserve">evidence/screenshots/</w:t>
      </w:r>
      <w:r>
        <w:t xml:space="preserve">).</w:t>
      </w:r>
    </w:p>
    <w:tbl>
      <w:tblPr>
        <w:tblStyle w:val="Table"/>
        <w:tblW w:type="pct" w:w="5000"/>
        <w:tblLook w:firstRow="1" w:lastRow="0" w:firstColumn="0" w:lastColumn="0" w:noHBand="0" w:noVBand="0" w:val="0020"/>
        <w:jc w:val="start"/>
      </w:tblPr>
      <w:tblGrid>
        <w:gridCol w:w="396"/>
        <w:gridCol w:w="633"/>
        <w:gridCol w:w="2059"/>
        <w:gridCol w:w="1188"/>
        <w:gridCol w:w="3088"/>
        <w:gridCol w:w="554"/>
      </w:tblGrid>
      <w:tr>
        <w:trPr>
          <w:tblHeader w:val="true"/>
        </w:trPr>
        <w:tc>
          <w:tcPr/>
          <w:p>
            <w:pPr>
              <w:pStyle w:val="Compact"/>
              <w:jc w:val="left"/>
            </w:pPr>
            <w:r>
              <w:t xml:space="preserve">Test</w:t>
            </w:r>
          </w:p>
        </w:tc>
        <w:tc>
          <w:tcPr/>
          <w:p>
            <w:pPr>
              <w:pStyle w:val="Compact"/>
              <w:jc w:val="left"/>
            </w:pPr>
            <w:r>
              <w:t xml:space="preserve">Identity</w:t>
            </w:r>
          </w:p>
        </w:tc>
        <w:tc>
          <w:tcPr/>
          <w:p>
            <w:pPr>
              <w:pStyle w:val="Compact"/>
              <w:jc w:val="left"/>
            </w:pPr>
            <w:r>
              <w:t xml:space="preserve">Request / action</w:t>
            </w:r>
          </w:p>
        </w:tc>
        <w:tc>
          <w:tcPr/>
          <w:p>
            <w:pPr>
              <w:pStyle w:val="Compact"/>
              <w:jc w:val="left"/>
            </w:pPr>
            <w:r>
              <w:t xml:space="preserve">Expected</w:t>
            </w:r>
          </w:p>
        </w:tc>
        <w:tc>
          <w:tcPr/>
          <w:p>
            <w:pPr>
              <w:pStyle w:val="Compact"/>
              <w:jc w:val="left"/>
            </w:pPr>
            <w:r>
              <w:t xml:space="preserve">Observed (HTTP response / UI)</w:t>
            </w:r>
          </w:p>
        </w:tc>
        <w:tc>
          <w:tcPr/>
          <w:p>
            <w:pPr>
              <w:pStyle w:val="Compact"/>
              <w:jc w:val="left"/>
            </w:pPr>
            <w:r>
              <w:t xml:space="preserve">Result</w:t>
            </w:r>
          </w:p>
        </w:tc>
      </w:tr>
      <w:tr>
        <w:tc>
          <w:tcPr/>
          <w:p>
            <w:pPr>
              <w:pStyle w:val="Compact"/>
              <w:jc w:val="left"/>
            </w:pPr>
            <w:r>
              <w:t xml:space="preserve">T1</w:t>
            </w:r>
          </w:p>
        </w:tc>
        <w:tc>
          <w:tcPr/>
          <w:p>
            <w:pPr>
              <w:pStyle w:val="Compact"/>
              <w:jc w:val="left"/>
            </w:pPr>
            <w:r>
              <w:t xml:space="preserve">S001</w:t>
            </w:r>
          </w:p>
        </w:tc>
        <w:tc>
          <w:tcPr/>
          <w:p>
            <w:pPr>
              <w:pStyle w:val="Compact"/>
              <w:jc w:val="left"/>
            </w:pPr>
            <w:r>
              <w:rPr>
                <w:rStyle w:val="VerbatimChar"/>
              </w:rPr>
              <w:t xml:space="preserve">POST /auth/register/options</w:t>
            </w:r>
            <w:r>
              <w:t xml:space="preserve"> </w:t>
            </w:r>
            <w:r>
              <w:t xml:space="preserve">with one-time code, then</w:t>
            </w:r>
            <w:r>
              <w:t xml:space="preserve"> </w:t>
            </w:r>
            <w:r>
              <w:rPr>
                <w:rStyle w:val="VerbatimChar"/>
              </w:rPr>
              <w:t xml:space="preserve">/auth/register/verify</w:t>
            </w:r>
          </w:p>
        </w:tc>
        <w:tc>
          <w:tcPr/>
          <w:p>
            <w:pPr>
              <w:pStyle w:val="Compact"/>
              <w:jc w:val="left"/>
            </w:pPr>
            <w:r>
              <w:t xml:space="preserve">Credential registered to S001; public key stored</w:t>
            </w:r>
          </w:p>
        </w:tc>
        <w:tc>
          <w:tcPr/>
          <w:p>
            <w:pPr>
              <w:pStyle w:val="Compact"/>
              <w:jc w:val="left"/>
            </w:pPr>
            <w:r>
              <w:rPr>
                <w:bCs/>
                <w:b/>
              </w:rPr>
              <w:t xml:space="preserve">200</w:t>
            </w:r>
            <w:r>
              <w:t xml:space="preserve"> </w:t>
            </w:r>
            <w:r>
              <w:rPr>
                <w:rStyle w:val="VerbatimChar"/>
              </w:rPr>
              <w:t xml:space="preserve">{"verified":true,"userId":"S001"}</w:t>
            </w:r>
            <w:r>
              <w:t xml:space="preserve">. COSE public key saved in</w:t>
            </w:r>
            <w:r>
              <w:t xml:space="preserve"> </w:t>
            </w:r>
            <w:r>
              <w:rPr>
                <w:rStyle w:val="VerbatimChar"/>
              </w:rPr>
              <w:t xml:space="preserve">data/db.json</w:t>
            </w:r>
            <w:r>
              <w:t xml:space="preserve">, enrollment code consumed. Credential ID random per run. (Fig. 1)</w:t>
            </w:r>
          </w:p>
        </w:tc>
        <w:tc>
          <w:tcPr/>
          <w:p>
            <w:pPr>
              <w:pStyle w:val="Compact"/>
              <w:jc w:val="left"/>
            </w:pPr>
            <w:r>
              <w:t xml:space="preserve">PASS</w:t>
            </w:r>
          </w:p>
        </w:tc>
      </w:tr>
      <w:tr>
        <w:tc>
          <w:tcPr/>
          <w:p>
            <w:pPr>
              <w:pStyle w:val="Compact"/>
              <w:jc w:val="left"/>
            </w:pPr>
            <w:r>
              <w:t xml:space="preserve">T2</w:t>
            </w:r>
          </w:p>
        </w:tc>
        <w:tc>
          <w:tcPr/>
          <w:p>
            <w:pPr>
              <w:pStyle w:val="Compact"/>
              <w:jc w:val="left"/>
            </w:pPr>
            <w:r>
              <w:t xml:space="preserve">S001</w:t>
            </w:r>
          </w:p>
        </w:tc>
        <w:tc>
          <w:tcPr/>
          <w:p>
            <w:pPr>
              <w:pStyle w:val="Compact"/>
              <w:jc w:val="left"/>
            </w:pPr>
            <w:r>
              <w:rPr>
                <w:rStyle w:val="VerbatimChar"/>
              </w:rPr>
              <w:t xml:space="preserve">POST /auth/login/options</w:t>
            </w:r>
            <w:r>
              <w:t xml:space="preserve">, then</w:t>
            </w:r>
            <w:r>
              <w:t xml:space="preserve"> </w:t>
            </w:r>
            <w:r>
              <w:rPr>
                <w:rStyle w:val="VerbatimChar"/>
              </w:rPr>
              <w:t xml:space="preserve">/auth/login/verify</w:t>
            </w:r>
          </w:p>
        </w:tc>
        <w:tc>
          <w:tcPr/>
          <w:p>
            <w:pPr>
              <w:pStyle w:val="Compact"/>
              <w:jc w:val="left"/>
            </w:pPr>
            <w:r>
              <w:t xml:space="preserve">Fresh challenge verified; session created</w:t>
            </w:r>
          </w:p>
        </w:tc>
        <w:tc>
          <w:tcPr/>
          <w:p>
            <w:pPr>
              <w:pStyle w:val="Compact"/>
              <w:jc w:val="left"/>
            </w:pPr>
            <w:r>
              <w:rPr>
                <w:bCs/>
                <w:b/>
              </w:rPr>
              <w:t xml:space="preserve">200</w:t>
            </w:r>
            <w:r>
              <w:t xml:space="preserve"> </w:t>
            </w:r>
            <w:r>
              <w:rPr>
                <w:rStyle w:val="VerbatimChar"/>
              </w:rPr>
              <w:t xml:space="preserve">{"verified":true,"user":{"id":"S001","role":"student"}}</w:t>
            </w:r>
            <w:r>
              <w:t xml:space="preserve">. Session regenerated;</w:t>
            </w:r>
            <w:r>
              <w:t xml:space="preserve"> </w:t>
            </w:r>
            <w:r>
              <w:rPr>
                <w:rStyle w:val="VerbatimChar"/>
              </w:rPr>
              <w:t xml:space="preserve">HttpOnly</w:t>
            </w:r>
            <w:r>
              <w:t xml:space="preserve"> </w:t>
            </w:r>
            <w:r>
              <w:rPr>
                <w:rStyle w:val="VerbatimChar"/>
              </w:rPr>
              <w:t xml:space="preserve">portal.sid</w:t>
            </w:r>
            <w:r>
              <w:t xml:space="preserve"> </w:t>
            </w:r>
            <w:r>
              <w:t xml:space="preserve">cookie set.</w:t>
            </w:r>
          </w:p>
        </w:tc>
        <w:tc>
          <w:tcPr/>
          <w:p>
            <w:pPr>
              <w:pStyle w:val="Compact"/>
              <w:jc w:val="left"/>
            </w:pPr>
            <w:r>
              <w:t xml:space="preserve">PASS</w:t>
            </w:r>
          </w:p>
        </w:tc>
      </w:tr>
      <w:tr>
        <w:tc>
          <w:tcPr/>
          <w:p>
            <w:pPr>
              <w:pStyle w:val="Compact"/>
              <w:jc w:val="left"/>
            </w:pPr>
            <w:r>
              <w:t xml:space="preserve">T3</w:t>
            </w:r>
          </w:p>
        </w:tc>
        <w:tc>
          <w:tcPr/>
          <w:p>
            <w:pPr>
              <w:pStyle w:val="Compact"/>
              <w:jc w:val="left"/>
            </w:pPr>
            <w:r>
              <w:t xml:space="preserve">Attacker → S001</w:t>
            </w:r>
          </w:p>
        </w:tc>
        <w:tc>
          <w:tcPr/>
          <w:p>
            <w:pPr>
              <w:pStyle w:val="Compact"/>
              <w:jc w:val="left"/>
            </w:pPr>
            <w:r>
              <w:t xml:space="preserve">(a) replay T2 assertion; (b) flip one signature byte</w:t>
            </w:r>
          </w:p>
        </w:tc>
        <w:tc>
          <w:tcPr/>
          <w:p>
            <w:pPr>
              <w:pStyle w:val="Compact"/>
              <w:jc w:val="left"/>
            </w:pPr>
            <w:r>
              <w:t xml:space="preserve">Rejected; no session</w:t>
            </w:r>
          </w:p>
        </w:tc>
        <w:tc>
          <w:tcPr/>
          <w:p>
            <w:pPr>
              <w:pStyle w:val="Compact"/>
              <w:jc w:val="left"/>
            </w:pPr>
            <w:r>
              <w:t xml:space="preserve">(a)</w:t>
            </w:r>
            <w:r>
              <w:t xml:space="preserve"> </w:t>
            </w:r>
            <w:r>
              <w:rPr>
                <w:bCs/>
                <w:b/>
              </w:rPr>
              <w:t xml:space="preserve">400</w:t>
            </w:r>
            <w:r>
              <w:t xml:space="preserve"> </w:t>
            </w:r>
            <w:r>
              <w:t xml:space="preserve">"Missing or already-used challenge" (no pending challenge);</w:t>
            </w:r>
            <w:r>
              <w:t xml:space="preserve"> </w:t>
            </w:r>
            <w:r>
              <w:rPr>
                <w:bCs/>
                <w:b/>
              </w:rPr>
              <w:t xml:space="preserve">401</w:t>
            </w:r>
            <w:r>
              <w:t xml:space="preserve"> </w:t>
            </w:r>
            <w:r>
              <w:t xml:space="preserve">against a fresh challenge. (b)</w:t>
            </w:r>
            <w:r>
              <w:t xml:space="preserve"> </w:t>
            </w:r>
            <w:r>
              <w:rPr>
                <w:bCs/>
                <w:b/>
              </w:rPr>
              <w:t xml:space="preserve">401</w:t>
            </w:r>
            <w:r>
              <w:t xml:space="preserve"> </w:t>
            </w:r>
            <w:r>
              <w:t xml:space="preserve">"Passkey signature verification failed."</w:t>
            </w:r>
            <w:r>
              <w:t xml:space="preserve"> </w:t>
            </w:r>
            <w:r>
              <w:rPr>
                <w:rStyle w:val="VerbatimChar"/>
              </w:rPr>
              <w:t xml:space="preserve">/auth/session</w:t>
            </w:r>
            <w:r>
              <w:t xml:space="preserve"> </w:t>
            </w:r>
            <w:r>
              <w:t xml:space="preserve">→</w:t>
            </w:r>
            <w:r>
              <w:t xml:space="preserve"> </w:t>
            </w:r>
            <w:r>
              <w:rPr>
                <w:rStyle w:val="VerbatimChar"/>
              </w:rPr>
              <w:t xml:space="preserve">authenticated:false</w:t>
            </w:r>
            <w:r>
              <w:t xml:space="preserve">. (Fig. 3)</w:t>
            </w:r>
          </w:p>
        </w:tc>
        <w:tc>
          <w:tcPr/>
          <w:p>
            <w:pPr>
              <w:pStyle w:val="Compact"/>
              <w:jc w:val="left"/>
            </w:pPr>
            <w:r>
              <w:t xml:space="preserve">PASS</w:t>
            </w:r>
          </w:p>
        </w:tc>
      </w:tr>
      <w:tr>
        <w:tc>
          <w:tcPr/>
          <w:p>
            <w:pPr>
              <w:pStyle w:val="Compact"/>
              <w:jc w:val="left"/>
            </w:pPr>
            <w:r>
              <w:t xml:space="preserve">T4</w:t>
            </w:r>
          </w:p>
        </w:tc>
        <w:tc>
          <w:tcPr/>
          <w:p>
            <w:pPr>
              <w:pStyle w:val="Compact"/>
              <w:jc w:val="left"/>
            </w:pPr>
            <w:r>
              <w:t xml:space="preserve">No session</w:t>
            </w:r>
          </w:p>
        </w:tc>
        <w:tc>
          <w:tcPr/>
          <w:p>
            <w:pPr>
              <w:pStyle w:val="Compact"/>
              <w:jc w:val="left"/>
            </w:pPr>
            <w:r>
              <w:rPr>
                <w:rStyle w:val="VerbatimChar"/>
              </w:rPr>
              <w:t xml:space="preserve">GET /students/S001</w:t>
            </w:r>
          </w:p>
        </w:tc>
        <w:tc>
          <w:tcPr/>
          <w:p>
            <w:pPr>
              <w:pStyle w:val="Compact"/>
              <w:jc w:val="left"/>
            </w:pPr>
            <w:r>
              <w:t xml:space="preserve">Denied (401)</w:t>
            </w:r>
          </w:p>
        </w:tc>
        <w:tc>
          <w:tcPr/>
          <w:p>
            <w:pPr>
              <w:pStyle w:val="Compact"/>
              <w:jc w:val="left"/>
            </w:pPr>
            <w:r>
              <w:rPr>
                <w:bCs/>
                <w:b/>
              </w:rPr>
              <w:t xml:space="preserve">401</w:t>
            </w:r>
            <w:r>
              <w:t xml:space="preserve"> </w:t>
            </w:r>
            <w:r>
              <w:t xml:space="preserve">"Authentication required: No valid session." Same after</w:t>
            </w:r>
            <w:r>
              <w:t xml:space="preserve"> </w:t>
            </w:r>
            <w:r>
              <w:rPr>
                <w:rStyle w:val="VerbatimChar"/>
              </w:rPr>
              <w:t xml:space="preserve">POST /logout</w:t>
            </w:r>
            <w:r>
              <w:t xml:space="preserve">.</w:t>
            </w:r>
          </w:p>
        </w:tc>
        <w:tc>
          <w:tcPr/>
          <w:p>
            <w:pPr>
              <w:pStyle w:val="Compact"/>
              <w:jc w:val="left"/>
            </w:pPr>
            <w:r>
              <w:t xml:space="preserve">PASS</w:t>
            </w:r>
          </w:p>
        </w:tc>
      </w:tr>
      <w:tr>
        <w:tc>
          <w:tcPr/>
          <w:p>
            <w:pPr>
              <w:pStyle w:val="Compact"/>
              <w:jc w:val="left"/>
            </w:pPr>
            <w:r>
              <w:t xml:space="preserve">T5</w:t>
            </w:r>
          </w:p>
        </w:tc>
        <w:tc>
          <w:tcPr/>
          <w:p>
            <w:pPr>
              <w:pStyle w:val="Compact"/>
              <w:jc w:val="left"/>
            </w:pPr>
            <w:r>
              <w:t xml:space="preserve">S001</w:t>
            </w:r>
          </w:p>
        </w:tc>
        <w:tc>
          <w:tcPr/>
          <w:p>
            <w:pPr>
              <w:pStyle w:val="Compact"/>
              <w:jc w:val="left"/>
            </w:pPr>
            <w:r>
              <w:rPr>
                <w:rStyle w:val="VerbatimChar"/>
              </w:rPr>
              <w:t xml:space="preserve">GET /students/S001</w:t>
            </w:r>
          </w:p>
        </w:tc>
        <w:tc>
          <w:tcPr/>
          <w:p>
            <w:pPr>
              <w:pStyle w:val="Compact"/>
              <w:jc w:val="left"/>
            </w:pPr>
            <w:r>
              <w:t xml:space="preserve">Allowed</w:t>
            </w:r>
          </w:p>
        </w:tc>
        <w:tc>
          <w:tcPr/>
          <w:p>
            <w:pPr>
              <w:pStyle w:val="Compact"/>
              <w:jc w:val="left"/>
            </w:pPr>
            <w:r>
              <w:rPr>
                <w:bCs/>
                <w:b/>
              </w:rPr>
              <w:t xml:space="preserve">200</w:t>
            </w:r>
            <w:r>
              <w:t xml:space="preserve">: S001 record (C101, B+, 84).</w:t>
            </w:r>
          </w:p>
        </w:tc>
        <w:tc>
          <w:tcPr/>
          <w:p>
            <w:pPr>
              <w:pStyle w:val="Compact"/>
              <w:jc w:val="left"/>
            </w:pPr>
            <w:r>
              <w:t xml:space="preserve">PASS</w:t>
            </w:r>
          </w:p>
        </w:tc>
      </w:tr>
      <w:tr>
        <w:tc>
          <w:tcPr/>
          <w:p>
            <w:pPr>
              <w:pStyle w:val="Compact"/>
              <w:jc w:val="left"/>
            </w:pPr>
            <w:r>
              <w:t xml:space="preserve">T6</w:t>
            </w:r>
          </w:p>
        </w:tc>
        <w:tc>
          <w:tcPr/>
          <w:p>
            <w:pPr>
              <w:pStyle w:val="Compact"/>
              <w:jc w:val="left"/>
            </w:pPr>
            <w:r>
              <w:t xml:space="preserve">S001</w:t>
            </w:r>
          </w:p>
        </w:tc>
        <w:tc>
          <w:tcPr/>
          <w:p>
            <w:pPr>
              <w:pStyle w:val="Compact"/>
              <w:jc w:val="left"/>
            </w:pPr>
            <w:r>
              <w:rPr>
                <w:rStyle w:val="VerbatimChar"/>
              </w:rPr>
              <w:t xml:space="preserve">GET /students/S002</w:t>
            </w:r>
            <w:r>
              <w:t xml:space="preserve"> </w:t>
            </w:r>
            <w:r>
              <w:t xml:space="preserve">by changing the ID (curl and address bar)</w:t>
            </w:r>
          </w:p>
        </w:tc>
        <w:tc>
          <w:tcPr/>
          <w:p>
            <w:pPr>
              <w:pStyle w:val="Compact"/>
              <w:jc w:val="left"/>
            </w:pPr>
            <w:r>
              <w:t xml:space="preserve">Denied (403/404)</w:t>
            </w:r>
          </w:p>
        </w:tc>
        <w:tc>
          <w:tcPr/>
          <w:p>
            <w:pPr>
              <w:pStyle w:val="Compact"/>
              <w:jc w:val="left"/>
            </w:pPr>
            <w:r>
              <w:rPr>
                <w:bCs/>
                <w:b/>
              </w:rPr>
              <w:t xml:space="preserve">403</w:t>
            </w:r>
            <w:r>
              <w:t xml:space="preserve"> </w:t>
            </w:r>
            <w:r>
              <w:t xml:space="preserve">"Forbidden: Students may only view their own academic record." (§2.1, Fig. 2)</w:t>
            </w:r>
          </w:p>
        </w:tc>
        <w:tc>
          <w:tcPr/>
          <w:p>
            <w:pPr>
              <w:pStyle w:val="Compact"/>
              <w:jc w:val="left"/>
            </w:pPr>
            <w:r>
              <w:t xml:space="preserve">PASS</w:t>
            </w:r>
          </w:p>
        </w:tc>
      </w:tr>
      <w:tr>
        <w:tc>
          <w:tcPr/>
          <w:p>
            <w:pPr>
              <w:pStyle w:val="Compact"/>
              <w:jc w:val="left"/>
            </w:pPr>
            <w:r>
              <w:t xml:space="preserve">T7</w:t>
            </w:r>
          </w:p>
        </w:tc>
        <w:tc>
          <w:tcPr/>
          <w:p>
            <w:pPr>
              <w:pStyle w:val="Compact"/>
              <w:jc w:val="left"/>
            </w:pPr>
            <w:r>
              <w:t xml:space="preserve">S001</w:t>
            </w:r>
          </w:p>
        </w:tc>
        <w:tc>
          <w:tcPr/>
          <w:p>
            <w:pPr>
              <w:pStyle w:val="Compact"/>
              <w:jc w:val="left"/>
            </w:pPr>
            <w:r>
              <w:rPr>
                <w:rStyle w:val="VerbatimChar"/>
              </w:rPr>
              <w:t xml:space="preserve">POST /courses/C101/grades/S001</w:t>
            </w:r>
            <w:r>
              <w:t xml:space="preserve"> </w:t>
            </w:r>
            <w:r>
              <w:rPr>
                <w:rStyle w:val="VerbatimChar"/>
              </w:rPr>
              <w:t xml:space="preserve">{"grade":"A","score":100}</w:t>
            </w:r>
          </w:p>
        </w:tc>
        <w:tc>
          <w:tcPr/>
          <w:p>
            <w:pPr>
              <w:pStyle w:val="Compact"/>
              <w:jc w:val="left"/>
            </w:pPr>
            <w:r>
              <w:t xml:space="preserve">Denied; grade unchanged</w:t>
            </w:r>
          </w:p>
        </w:tc>
        <w:tc>
          <w:tcPr/>
          <w:p>
            <w:pPr>
              <w:pStyle w:val="Compact"/>
              <w:jc w:val="left"/>
            </w:pPr>
            <w:r>
              <w:rPr>
                <w:bCs/>
                <w:b/>
              </w:rPr>
              <w:t xml:space="preserve">403</w:t>
            </w:r>
            <w:r>
              <w:t xml:space="preserve"> </w:t>
            </w:r>
            <w:r>
              <w:t xml:space="preserve">"Forbidden: Only lecturers assigned to the course may update grades." Grade still B+/84. (§2.2, Fig. 3)</w:t>
            </w:r>
          </w:p>
        </w:tc>
        <w:tc>
          <w:tcPr/>
          <w:p>
            <w:pPr>
              <w:pStyle w:val="Compact"/>
              <w:jc w:val="left"/>
            </w:pPr>
            <w:r>
              <w:t xml:space="preserve">PASS</w:t>
            </w:r>
          </w:p>
        </w:tc>
      </w:tr>
      <w:tr>
        <w:tc>
          <w:tcPr/>
          <w:p>
            <w:pPr>
              <w:pStyle w:val="Compact"/>
              <w:jc w:val="left"/>
            </w:pPr>
            <w:r>
              <w:t xml:space="preserve">T8</w:t>
            </w:r>
          </w:p>
        </w:tc>
        <w:tc>
          <w:tcPr/>
          <w:p>
            <w:pPr>
              <w:pStyle w:val="Compact"/>
              <w:jc w:val="left"/>
            </w:pPr>
            <w:r>
              <w:t xml:space="preserve">L001</w:t>
            </w:r>
          </w:p>
        </w:tc>
        <w:tc>
          <w:tcPr/>
          <w:p>
            <w:pPr>
              <w:pStyle w:val="Compact"/>
              <w:jc w:val="left"/>
            </w:pPr>
            <w:r>
              <w:rPr>
                <w:rStyle w:val="VerbatimChar"/>
              </w:rPr>
              <w:t xml:space="preserve">POST /courses/C101/grades/S001</w:t>
            </w:r>
            <w:r>
              <w:t xml:space="preserve"> </w:t>
            </w:r>
            <w:r>
              <w:rPr>
                <w:rStyle w:val="VerbatimChar"/>
              </w:rPr>
              <w:t xml:space="preserve">{"grade":"A","score":94}</w:t>
            </w:r>
          </w:p>
        </w:tc>
        <w:tc>
          <w:tcPr/>
          <w:p>
            <w:pPr>
              <w:pStyle w:val="Compact"/>
              <w:jc w:val="left"/>
            </w:pPr>
            <w:r>
              <w:t xml:space="preserve">Allowed after lecturer/course check</w:t>
            </w:r>
          </w:p>
        </w:tc>
        <w:tc>
          <w:tcPr/>
          <w:p>
            <w:pPr>
              <w:pStyle w:val="Compact"/>
              <w:jc w:val="left"/>
            </w:pPr>
            <w:r>
              <w:rPr>
                <w:bCs/>
                <w:b/>
              </w:rPr>
              <w:t xml:space="preserve">200</w:t>
            </w:r>
            <w:r>
              <w:t xml:space="preserve"> </w:t>
            </w:r>
            <w:r>
              <w:rPr>
                <w:rStyle w:val="VerbatimChar"/>
              </w:rPr>
              <w:t xml:space="preserve">{"updated":true}</w:t>
            </w:r>
            <w:r>
              <w:t xml:space="preserve">. Grade now A/94,</w:t>
            </w:r>
            <w:r>
              <w:t xml:space="preserve"> </w:t>
            </w:r>
            <w:r>
              <w:rPr>
                <w:rStyle w:val="VerbatimChar"/>
              </w:rPr>
              <w:t xml:space="preserve">updatedBy: "L001"</w:t>
            </w:r>
            <w:r>
              <w:t xml:space="preserve">. (Fig. 4)</w:t>
            </w:r>
          </w:p>
        </w:tc>
        <w:tc>
          <w:tcPr/>
          <w:p>
            <w:pPr>
              <w:pStyle w:val="Compact"/>
              <w:jc w:val="left"/>
            </w:pPr>
            <w:r>
              <w:t xml:space="preserve">PASS</w:t>
            </w:r>
          </w:p>
        </w:tc>
      </w:tr>
    </w:tbl>
    <w:p>
      <w:pPr>
        <w:pStyle w:val="BodyText"/>
      </w:pPr>
      <w:r>
        <w:t xml:space="preserve">Minimum route policy, also probed directly:</w:t>
      </w:r>
    </w:p>
    <w:p>
      <w:pPr>
        <w:numPr>
          <w:ilvl w:val="0"/>
          <w:numId w:val="1001"/>
        </w:numPr>
        <w:pStyle w:val="Compact"/>
      </w:pPr>
      <w:r>
        <w:t xml:space="preserve">A lecturer can read only students in their course: L001 → S001 or S002 returns 200; an unknown ID returns 403.</w:t>
      </w:r>
    </w:p>
    <w:p>
      <w:pPr>
        <w:numPr>
          <w:ilvl w:val="0"/>
          <w:numId w:val="1001"/>
        </w:numPr>
        <w:pStyle w:val="Compact"/>
      </w:pPr>
      <w:r>
        <w:rPr>
          <w:rStyle w:val="VerbatimChar"/>
        </w:rPr>
        <w:t xml:space="preserve">POST /logout</w:t>
      </w:r>
      <w:r>
        <w:t xml:space="preserve"> </w:t>
      </w:r>
      <w:r>
        <w:t xml:space="preserve">destroys the session; later protected requests return 401.</w:t>
      </w:r>
    </w:p>
    <w:p>
      <w:pPr>
        <w:numPr>
          <w:ilvl w:val="0"/>
          <w:numId w:val="1001"/>
        </w:numPr>
        <w:pStyle w:val="Compact"/>
      </w:pPr>
      <w:r>
        <w:t xml:space="preserve">An unauthenticated visitor reaches only the login/registration page. Every protected route returns 401.</w:t>
      </w:r>
    </w:p>
    <w:bookmarkEnd w:id="20"/>
    <w:bookmarkStart w:id="36" w:name="direct-requests-the-ui-did-not-offer"/>
    <w:p>
      <w:pPr>
        <w:pStyle w:val="Heading2"/>
      </w:pPr>
      <w:r>
        <w:t xml:space="preserve">2. Direct Requests the UI Did Not Offer</w:t>
      </w:r>
    </w:p>
    <w:p>
      <w:pPr>
        <w:pStyle w:val="FirstParagraph"/>
      </w:pPr>
      <w:r>
        <w:rPr>
          <w:bCs/>
          <w:b/>
        </w:rPr>
        <w:t xml:space="preserve">2.1 T6: S001 edits the ID in the URL (curl, S001 session cookie)</w:t>
      </w:r>
    </w:p>
    <w:p>
      <w:pPr>
        <w:pStyle w:val="SourceCode"/>
      </w:pPr>
      <w:r>
        <w:rPr>
          <w:rStyle w:val="VerbatimChar"/>
        </w:rPr>
        <w:t xml:space="preserve">$ curl -i http://localhost:3000/students/S002 -H "Cookie: portal.sid=&lt;S001-session&gt;"</w:t>
      </w:r>
      <w:r>
        <w:br/>
      </w:r>
      <w:r>
        <w:rPr>
          <w:rStyle w:val="VerbatimChar"/>
        </w:rPr>
        <w:t xml:space="preserve">HTTP/1.1 403 Forbidden</w:t>
      </w:r>
      <w:r>
        <w:br/>
      </w:r>
      <w:r>
        <w:rPr>
          <w:rStyle w:val="VerbatimChar"/>
        </w:rPr>
        <w:t xml:space="preserve">{"error":"Forbidden: Students may only view their own academic record."}</w:t>
      </w:r>
    </w:p>
    <w:p>
      <w:pPr>
        <w:pStyle w:val="FirstParagraph"/>
      </w:pPr>
      <w:r>
        <w:rPr>
          <w:bCs/>
          <w:b/>
        </w:rPr>
        <w:t xml:space="preserve">2.2 T7: S001 calls the lecturer grade endpoint directly, bypassing the UI</w:t>
      </w:r>
    </w:p>
    <w:p>
      <w:pPr>
        <w:pStyle w:val="SourceCode"/>
      </w:pPr>
      <w:r>
        <w:rPr>
          <w:rStyle w:val="VerbatimChar"/>
        </w:rPr>
        <w:t xml:space="preserve">$ curl -i -X POST http://localhost:3000/courses/C101/grades/S001 -H "Content-Type: application/json" \</w:t>
      </w:r>
      <w:r>
        <w:br/>
      </w:r>
      <w:r>
        <w:rPr>
          <w:rStyle w:val="VerbatimChar"/>
        </w:rPr>
        <w:t xml:space="preserve">       -H "Cookie: portal.sid=&lt;S001-session&gt;" -d '{"grade":"A","score":100}'</w:t>
      </w:r>
      <w:r>
        <w:br/>
      </w:r>
      <w:r>
        <w:rPr>
          <w:rStyle w:val="VerbatimChar"/>
        </w:rPr>
        <w:t xml:space="preserve">HTTP/1.1 403 Forbidden</w:t>
      </w:r>
      <w:r>
        <w:br/>
      </w:r>
      <w:r>
        <w:rPr>
          <w:rStyle w:val="VerbatimChar"/>
        </w:rPr>
        <w:t xml:space="preserve">{"error":"Forbidden: Only lecturers assigned to the course may update grades."}</w:t>
      </w:r>
    </w:p>
    <w:p>
      <w:pPr>
        <w:pStyle w:val="FirstParagraph"/>
      </w:pPr>
      <w:r>
        <w:rPr>
          <w:bCs/>
          <w:b/>
        </w:rPr>
        <w:t xml:space="preserve">2.3 Policy checks responsible (</w:t>
      </w:r>
      <w:r>
        <w:rPr>
          <w:rStyle w:val="VerbatimChar"/>
          <w:bCs/>
          <w:b/>
        </w:rPr>
        <w:t xml:space="preserve">src/middleware/authz.js</w:t>
      </w:r>
      <w:r>
        <w:rPr>
          <w:bCs/>
          <w:b/>
        </w:rPr>
        <w:t xml:space="preserve">).</w:t>
      </w:r>
      <w:r>
        <w:t xml:space="preserve"> </w:t>
      </w:r>
      <w:r>
        <w:t xml:space="preserve">Both run as Express middleware after</w:t>
      </w:r>
      <w:r>
        <w:t xml:space="preserve"> </w:t>
      </w:r>
      <w:r>
        <w:rPr>
          <w:rStyle w:val="VerbatimChar"/>
        </w:rPr>
        <w:t xml:space="preserve">requireAuth</w:t>
      </w:r>
      <w:r>
        <w:t xml:space="preserve">, which returns 401 for T4, and before any data is read or written:</w:t>
      </w:r>
    </w:p>
    <w:p>
      <w:pPr>
        <w:pStyle w:val="SourceCode"/>
      </w:pPr>
      <w:r>
        <w:rPr>
          <w:rStyle w:val="CommentTok"/>
        </w:rPr>
        <w:t xml:space="preserve">// authorizeStudentRecordRead: GET /students/:studentId (T5, T6)</w:t>
      </w:r>
      <w:r>
        <w:br/>
      </w:r>
      <w:r>
        <w:rPr>
          <w:rStyle w:val="ControlFlowTok"/>
        </w:rPr>
        <w:t xml:space="preserve">if</w:t>
      </w:r>
      <w:r>
        <w:rPr>
          <w:rStyle w:val="NormalTok"/>
        </w:rPr>
        <w:t xml:space="preserve"> (actor</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'student'</w:t>
      </w:r>
      <w:r>
        <w:rPr>
          <w:rStyle w:val="NormalTok"/>
        </w:rPr>
        <w:t xml:space="preserve"> </w:t>
      </w:r>
      <w:r>
        <w:rPr>
          <w:rStyle w:val="OperatorTok"/>
        </w:rPr>
        <w:t xml:space="preserve">&amp;&amp;</w:t>
      </w:r>
      <w:r>
        <w:rPr>
          <w:rStyle w:val="NormalTok"/>
        </w:rPr>
        <w:t xml:space="preserve"> actor</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targetStudentId)</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403</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error</w:t>
      </w:r>
      <w:r>
        <w:rPr>
          <w:rStyle w:val="OperatorTok"/>
        </w:rPr>
        <w:t xml:space="preserve">:</w:t>
      </w:r>
      <w:r>
        <w:rPr>
          <w:rStyle w:val="NormalTok"/>
        </w:rPr>
        <w:t xml:space="preserve"> </w:t>
      </w:r>
      <w:r>
        <w:rPr>
          <w:rStyle w:val="StringTok"/>
        </w:rPr>
        <w:t xml:space="preserve">'Forbidden: Students may only view their own academic record.'</w:t>
      </w:r>
      <w:r>
        <w:rPr>
          <w:rStyle w:val="NormalTok"/>
        </w:rPr>
        <w:t xml:space="preserve"> })</w:t>
      </w:r>
      <w:r>
        <w:rPr>
          <w:rStyle w:val="OperatorTok"/>
        </w:rPr>
        <w:t xml:space="preserve">;</w:t>
      </w:r>
      <w:r>
        <w:br/>
      </w:r>
      <w:r>
        <w:rPr>
          <w:rStyle w:val="CommentTok"/>
        </w:rPr>
        <w:t xml:space="preserve">// authorizeGradeUpdate: POST /courses/:courseId/grades/:studentId (T7, T8)</w:t>
      </w:r>
      <w:r>
        <w:br/>
      </w:r>
      <w:r>
        <w:rPr>
          <w:rStyle w:val="ControlFlowTok"/>
        </w:rPr>
        <w:t xml:space="preserve">if</w:t>
      </w:r>
      <w:r>
        <w:rPr>
          <w:rStyle w:val="NormalTok"/>
        </w:rPr>
        <w:t xml:space="preserve"> (actor</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'lecturer'</w:t>
      </w:r>
      <w:r>
        <w:rPr>
          <w:rStyle w:val="NormalTok"/>
        </w:rPr>
        <w:t xml:space="preserve">)</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403</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error</w:t>
      </w:r>
      <w:r>
        <w:rPr>
          <w:rStyle w:val="OperatorTok"/>
        </w:rPr>
        <w:t xml:space="preserve">:</w:t>
      </w:r>
      <w:r>
        <w:rPr>
          <w:rStyle w:val="NormalTok"/>
        </w:rPr>
        <w:t xml:space="preserve"> </w:t>
      </w:r>
      <w:r>
        <w:rPr>
          <w:rStyle w:val="StringTok"/>
        </w:rPr>
        <w:t xml:space="preserve">'Forbidden: Only lecturers assigned to the course may update grades.'</w:t>
      </w:r>
      <w:r>
        <w:rPr>
          <w:rStyle w:val="NormalTok"/>
        </w:rPr>
        <w:t xml:space="preserve"> })</w:t>
      </w:r>
      <w:r>
        <w:rPr>
          <w:rStyle w:val="OperatorTok"/>
        </w:rPr>
        <w:t xml:space="preserve">;</w:t>
      </w:r>
      <w:r>
        <w:br/>
      </w:r>
      <w:r>
        <w:rPr>
          <w:rStyle w:val="ControlFlowTok"/>
        </w:rPr>
        <w:t xml:space="preserve">if</w:t>
      </w:r>
      <w:r>
        <w:rPr>
          <w:rStyle w:val="NormalTok"/>
        </w:rPr>
        <w:t xml:space="preserve"> (course</w:t>
      </w:r>
      <w:r>
        <w:rPr>
          <w:rStyle w:val="OperatorTok"/>
        </w:rPr>
        <w:t xml:space="preserve">.</w:t>
      </w:r>
      <w:r>
        <w:rPr>
          <w:rStyle w:val="AttributeTok"/>
        </w:rPr>
        <w:t xml:space="preserve">lecturerId</w:t>
      </w:r>
      <w:r>
        <w:rPr>
          <w:rStyle w:val="NormalTok"/>
        </w:rPr>
        <w:t xml:space="preserve"> </w:t>
      </w:r>
      <w:r>
        <w:rPr>
          <w:rStyle w:val="OperatorTok"/>
        </w:rPr>
        <w:t xml:space="preserve">!==</w:t>
      </w:r>
      <w:r>
        <w:rPr>
          <w:rStyle w:val="NormalTok"/>
        </w:rPr>
        <w:t xml:space="preserve"> actor</w:t>
      </w:r>
      <w:r>
        <w:rPr>
          <w:rStyle w:val="OperatorTok"/>
        </w:rPr>
        <w:t xml:space="preserve">.</w:t>
      </w:r>
      <w:r>
        <w:rPr>
          <w:rStyle w:val="AttributeTok"/>
        </w:rPr>
        <w:t xml:space="preserve">id</w:t>
      </w:r>
      <w:r>
        <w:rPr>
          <w:rStyle w:val="NormalTok"/>
        </w:rPr>
        <w:t xml:space="preserve">)   </w:t>
      </w:r>
      <w:r>
        <w:rPr>
          <w:rStyle w:val="CommentTok"/>
        </w:rPr>
        <w:t xml:space="preserve">// after a 404 check for an unknown course</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403</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error</w:t>
      </w:r>
      <w:r>
        <w:rPr>
          <w:rStyle w:val="OperatorTok"/>
        </w:rPr>
        <w:t xml:space="preserve">:</w:t>
      </w:r>
      <w:r>
        <w:rPr>
          <w:rStyle w:val="NormalTok"/>
        </w:rPr>
        <w:t xml:space="preserve"> </w:t>
      </w:r>
      <w:r>
        <w:rPr>
          <w:rStyle w:val="VerbatimStringTok"/>
        </w:rPr>
        <w:t xml:space="preserve">`Forbidden: Lecturer </w:t>
      </w:r>
      <w:r>
        <w:rPr>
          <w:rStyle w:val="SpecialCharTok"/>
        </w:rPr>
        <w:t xml:space="preserve">${</w:t>
      </w:r>
      <w:r>
        <w:rPr>
          <w:rStyle w:val="NormalTok"/>
        </w:rPr>
        <w:t xml:space="preserve">actor</w:t>
      </w:r>
      <w:r>
        <w:rPr>
          <w:rStyle w:val="OperatorTok"/>
        </w:rPr>
        <w:t xml:space="preserve">.</w:t>
      </w:r>
      <w:r>
        <w:rPr>
          <w:rStyle w:val="AttributeTok"/>
        </w:rPr>
        <w:t xml:space="preserve">id</w:t>
      </w:r>
      <w:r>
        <w:rPr>
          <w:rStyle w:val="SpecialCharTok"/>
        </w:rPr>
        <w:t xml:space="preserve">}</w:t>
      </w:r>
      <w:r>
        <w:rPr>
          <w:rStyle w:val="VerbatimStringTok"/>
        </w:rPr>
        <w:t xml:space="preserve"> is not assigned to course </w:t>
      </w:r>
      <w:r>
        <w:rPr>
          <w:rStyle w:val="SpecialCharTok"/>
        </w:rPr>
        <w:t xml:space="preserve">${</w:t>
      </w:r>
      <w:r>
        <w:rPr>
          <w:rStyle w:val="NormalTok"/>
        </w:rPr>
        <w:t xml:space="preserve">courseId</w:t>
      </w:r>
      <w:r>
        <w:rPr>
          <w:rStyle w:val="SpecialCharTok"/>
        </w:rPr>
        <w:t xml:space="preserve">}</w:t>
      </w:r>
      <w:r>
        <w:rPr>
          <w:rStyle w:val="VerbatimStringTok"/>
        </w:rPr>
        <w:t xml:space="preserve">.`</w:t>
      </w:r>
      <w:r>
        <w:rPr>
          <w:rStyle w:val="NormalTok"/>
        </w:rPr>
        <w:t xml:space="preserve"> })</w:t>
      </w:r>
      <w:r>
        <w:rPr>
          <w:rStyle w:val="OperatorTok"/>
        </w:rPr>
        <w:t xml:space="preserve">;</w:t>
      </w:r>
    </w:p>
    <w:p>
      <w:pPr>
        <w:pStyle w:val="FirstParagraph"/>
      </w:pPr>
      <w:r>
        <w:rPr>
          <w:bCs/>
          <w:b/>
        </w:rPr>
        <w:t xml:space="preserve">2.4 Server audit log (</w:t>
      </w:r>
      <w:r>
        <w:rPr>
          <w:rStyle w:val="VerbatimChar"/>
          <w:bCs/>
          <w:b/>
        </w:rPr>
        <w:t xml:space="preserve">npm test</w:t>
      </w:r>
      <w:r>
        <w:rPr>
          <w:bCs/>
          <w:b/>
        </w:rPr>
        <w:t xml:space="preserve"> </w:t>
      </w:r>
      <w:r>
        <w:rPr>
          <w:bCs/>
          <w:b/>
        </w:rPr>
        <w:t xml:space="preserve">stdout, abridged).</w:t>
      </w:r>
      <w:r>
        <w:t xml:space="preserve"> </w:t>
      </w:r>
      <w:r>
        <w:t xml:space="preserve">No cookies, challenges or keys are logged; challenge values in error reasons are masked:</w:t>
      </w:r>
    </w:p>
    <w:p>
      <w:pPr>
        <w:pStyle w:val="SourceCode"/>
      </w:pPr>
      <w:r>
        <w:rPr>
          <w:rStyle w:val="VerbatimChar"/>
        </w:rPr>
        <w:t xml:space="preserve">[AUDIT] {"event":"LOGIN_VERIFY_DENIED","reason":"Missing or already-consumed authentication challenge (possible replay)"}</w:t>
      </w:r>
      <w:r>
        <w:br/>
      </w:r>
      <w:r>
        <w:rPr>
          <w:rStyle w:val="VerbatimChar"/>
        </w:rPr>
        <w:t xml:space="preserve">[AUDIT] {"event":"AUTHN_DENIED","method":"GET","path":"/students/S001","reason":"Missing or invalidated session"}</w:t>
      </w:r>
      <w:r>
        <w:br/>
      </w:r>
      <w:r>
        <w:rPr>
          <w:rStyle w:val="VerbatimChar"/>
        </w:rPr>
        <w:t xml:space="preserve">[AUDIT] {"event":"AUTHZ_DENIED","actorId":"S001","action":"READ_STUDENT_RECORD","targetStudentId":"S002","reason":"Student attempted to access another student record (ownership violation)"}</w:t>
      </w:r>
      <w:r>
        <w:br/>
      </w:r>
      <w:r>
        <w:rPr>
          <w:rStyle w:val="VerbatimChar"/>
        </w:rPr>
        <w:t xml:space="preserve">[AUDIT] {"event":"AUTHZ_DENIED","actorId":"S001","action":"UPDATE_COURSE_GRADE","courseId":"C101","targetStudentId":"S001","reason":"Non-lecturer attempted to invoke grade-update endpoint"}</w:t>
      </w:r>
      <w:r>
        <w:br/>
      </w:r>
      <w:r>
        <w:rPr>
          <w:rStyle w:val="VerbatimChar"/>
        </w:rPr>
        <w:t xml:space="preserve">[AUDIT] {"event":"GRADE_UPDATED","actorId":"L001","courseId":"C101","studentId":"S001","newGrade":"A","newScore":94}</w:t>
      </w:r>
    </w:p>
    <w:tbl>
      <w:tblPr>
        <w:tblStyle w:val="Table"/>
        <w:tblW w:type="pct" w:w="5000"/>
        <w:tblLook w:firstRow="0" w:lastRow="0" w:firstColumn="0" w:lastColumn="0" w:noHBand="0" w:noVBand="0" w:val="0000"/>
        <w:jc w:val="start"/>
      </w:tblPr>
      <w:tblGrid>
        <w:gridCol w:w="3960"/>
        <w:gridCol w:w="3960"/>
      </w:tblGrid>
      <w:tr>
        <w:tc>
          <w:tcPr>
            <w:vMerge w:val="restart"/>
          </w:tcPr>
          <w:p>
            <w:pPr>
              <w:pStyle w:val="Compact"/>
              <w:jc w:val="left"/>
            </w:pPr>
            <w:r>
              <w:drawing>
                <wp:inline>
                  <wp:extent cx="1985010" cy="3148636"/>
                  <wp:effectExtent b="0" l="0" r="0" t="0"/>
                  <wp:docPr descr="T1" title="" id="22" name="Picture"/>
                  <a:graphic>
                    <a:graphicData uri="http://schemas.openxmlformats.org/drawingml/2006/picture">
                      <pic:pic>
                        <pic:nvPicPr>
                          <pic:cNvPr descr="evidence/screenshots/report/fig1-T1-register.png" id="23" name="Picture"/>
                          <pic:cNvPicPr>
                            <a:picLocks noChangeArrowheads="1" noChangeAspect="1"/>
                          </pic:cNvPicPr>
                        </pic:nvPicPr>
                        <pic:blipFill>
                          <a:blip r:embed="rId21"/>
                          <a:stretch>
                            <a:fillRect/>
                          </a:stretch>
                        </pic:blipFill>
                        <pic:spPr bwMode="auto">
                          <a:xfrm>
                            <a:off x="0" y="0"/>
                            <a:ext cx="1985010" cy="3148636"/>
                          </a:xfrm>
                          <a:prstGeom prst="rect">
                            <a:avLst/>
                          </a:prstGeom>
                          <a:noFill/>
                          <a:ln w="9525">
                            <a:noFill/>
                            <a:headEnd/>
                            <a:tailEnd/>
                          </a:ln>
                        </pic:spPr>
                      </pic:pic>
                    </a:graphicData>
                  </a:graphic>
                </wp:inline>
              </w:drawing>
            </w:r>
            <w:r>
              <w:rPr>
                <w:bCs/>
                <w:b/>
              </w:rPr>
              <w:t xml:space="preserve">Fig. 1 (T1).</w:t>
            </w:r>
            <w:r>
              <w:t xml:space="preserve"> </w:t>
            </w:r>
            <w:r>
              <w:t xml:space="preserve">S001 registers a passkey in the browser; the server verifies it and stores the public key.</w:t>
            </w:r>
          </w:p>
        </w:tc>
        <w:tc>
          <w:tcPr/>
          <w:p>
            <w:pPr>
              <w:pStyle w:val="Compact"/>
              <w:jc w:val="left"/>
            </w:pPr>
            <w:r>
              <w:drawing>
                <wp:inline>
                  <wp:extent cx="4102354" cy="492282"/>
                  <wp:effectExtent b="0" l="0" r="0" t="0"/>
                  <wp:docPr descr="T6" title="" id="25" name="Picture"/>
                  <a:graphic>
                    <a:graphicData uri="http://schemas.openxmlformats.org/drawingml/2006/picture">
                      <pic:pic>
                        <pic:nvPicPr>
                          <pic:cNvPr descr="evidence/screenshots/report/fig2-T6-direct-url.png" id="26" name="Picture"/>
                          <pic:cNvPicPr>
                            <a:picLocks noChangeArrowheads="1" noChangeAspect="1"/>
                          </pic:cNvPicPr>
                        </pic:nvPicPr>
                        <pic:blipFill>
                          <a:blip r:embed="rId24"/>
                          <a:stretch>
                            <a:fillRect/>
                          </a:stretch>
                        </pic:blipFill>
                        <pic:spPr bwMode="auto">
                          <a:xfrm>
                            <a:off x="0" y="0"/>
                            <a:ext cx="4102354" cy="492282"/>
                          </a:xfrm>
                          <a:prstGeom prst="rect">
                            <a:avLst/>
                          </a:prstGeom>
                          <a:noFill/>
                          <a:ln w="9525">
                            <a:noFill/>
                            <a:headEnd/>
                            <a:tailEnd/>
                          </a:ln>
                        </pic:spPr>
                      </pic:pic>
                    </a:graphicData>
                  </a:graphic>
                </wp:inline>
              </w:drawing>
            </w:r>
            <w:r>
              <w:rPr>
                <w:bCs/>
                <w:b/>
              </w:rPr>
              <w:t xml:space="preserve">Fig. 2 (T6).</w:t>
            </w:r>
            <w:r>
              <w:t xml:space="preserve"> </w:t>
            </w:r>
            <w:r>
              <w:t xml:space="preserve">Signed in as S001,</w:t>
            </w:r>
            <w:r>
              <w:t xml:space="preserve"> </w:t>
            </w:r>
            <w:r>
              <w:rPr>
                <w:rStyle w:val="VerbatimChar"/>
              </w:rPr>
              <w:t xml:space="preserve">/students/S002</w:t>
            </w:r>
            <w:r>
              <w:t xml:space="preserve"> </w:t>
            </w:r>
            <w:r>
              <w:t xml:space="preserve">typed into the address bar returns 403.</w:t>
            </w:r>
          </w:p>
        </w:tc>
      </w:tr>
      <w:tr>
        <w:tc>
          <w:tcPr>
            <w:gridSpan w:val="1"/>
            <w:vMerge w:val="continue"/>
          </w:tcPr>
          <w:p>
            <w:pPr/>
          </w:p>
        </w:tc>
        <w:tc>
          <w:tcPr/>
          <w:p>
            <w:pPr>
              <w:pStyle w:val="Compact"/>
              <w:jc w:val="left"/>
            </w:pPr>
            <w:r>
              <w:drawing>
                <wp:inline>
                  <wp:extent cx="4102354" cy="1663116"/>
                  <wp:effectExtent b="0" l="0" r="0" t="0"/>
                  <wp:docPr descr="T8" title="" id="28" name="Picture"/>
                  <a:graphic>
                    <a:graphicData uri="http://schemas.openxmlformats.org/drawingml/2006/picture">
                      <pic:pic>
                        <pic:nvPicPr>
                          <pic:cNvPr descr="evidence/screenshots/report/fig4-T8-roster.png" id="29" name="Picture"/>
                          <pic:cNvPicPr>
                            <a:picLocks noChangeArrowheads="1" noChangeAspect="1"/>
                          </pic:cNvPicPr>
                        </pic:nvPicPr>
                        <pic:blipFill>
                          <a:blip r:embed="rId27"/>
                          <a:stretch>
                            <a:fillRect/>
                          </a:stretch>
                        </pic:blipFill>
                        <pic:spPr bwMode="auto">
                          <a:xfrm>
                            <a:off x="0" y="0"/>
                            <a:ext cx="4102354" cy="1663116"/>
                          </a:xfrm>
                          <a:prstGeom prst="rect">
                            <a:avLst/>
                          </a:prstGeom>
                          <a:noFill/>
                          <a:ln w="9525">
                            <a:noFill/>
                            <a:headEnd/>
                            <a:tailEnd/>
                          </a:ln>
                        </pic:spPr>
                      </pic:pic>
                    </a:graphicData>
                  </a:graphic>
                </wp:inline>
              </w:drawing>
            </w:r>
            <w:r>
              <w:rPr>
                <w:bCs/>
                <w:b/>
              </w:rPr>
              <w:t xml:space="preserve">Fig. 4 (T8).</w:t>
            </w:r>
            <w:r>
              <w:t xml:space="preserve"> </w:t>
            </w:r>
            <w:r>
              <w:t xml:space="preserve">L001 saves S001's C101 grade (A / 94).</w:t>
            </w:r>
          </w:p>
        </w:tc>
      </w:tr>
      <w:tr>
        <w:tc>
          <w:tcPr>
            <w:gridSpan w:val="2"/>
          </w:tcPr>
          <w:tbl>
            <w:tblPr>
              <w:tblStyle w:val="Table"/>
              <w:tblW w:type="auto" w:w="0"/>
              <w:tblLook w:firstRow="0" w:lastRow="0" w:firstColumn="0" w:lastColumn="0" w:noHBand="0" w:noVBand="0" w:val="0000"/>
              <w:jc w:val="start"/>
            </w:tblPr>
            <w:tblGrid>
              <w:gridCol w:w="3960"/>
              <w:gridCol w:w="3960"/>
            </w:tblGrid>
            <w:tr>
              <w:tc>
                <w:tcPr/>
                <w:p>
                  <w:pPr>
                    <w:pStyle w:val="Compact"/>
                    <w:jc w:val="left"/>
                    <w:jc w:val="left"/>
                  </w:pPr>
                  <w:r>
                    <w:drawing>
                      <wp:inline>
                        <wp:extent cx="1786509" cy="1407552"/>
                        <wp:effectExtent b="0" l="0" r="0" t="0"/>
                        <wp:docPr descr="T3" title="" id="31" name="Picture"/>
                        <a:graphic>
                          <a:graphicData uri="http://schemas.openxmlformats.org/drawingml/2006/picture">
                            <pic:pic>
                              <pic:nvPicPr>
                                <pic:cNvPr descr="evidence/screenshots/report/fig3a-T3-card.png" id="32" name="Picture"/>
                                <pic:cNvPicPr>
                                  <a:picLocks noChangeArrowheads="1" noChangeAspect="1"/>
                                </pic:cNvPicPr>
                              </pic:nvPicPr>
                              <pic:blipFill>
                                <a:blip r:embed="rId30"/>
                                <a:stretch>
                                  <a:fillRect/>
                                </a:stretch>
                              </pic:blipFill>
                              <pic:spPr bwMode="auto">
                                <a:xfrm>
                                  <a:off x="0" y="0"/>
                                  <a:ext cx="1786509" cy="1407552"/>
                                </a:xfrm>
                                <a:prstGeom prst="rect">
                                  <a:avLst/>
                                </a:prstGeom>
                                <a:noFill/>
                                <a:ln w="9525">
                                  <a:noFill/>
                                  <a:headEnd/>
                                  <a:tailEnd/>
                                </a:ln>
                              </pic:spPr>
                            </pic:pic>
                          </a:graphicData>
                        </a:graphic>
                      </wp:inline>
                    </w:drawing>
                  </w:r>
                </w:p>
              </w:tc>
              <w:tc>
                <w:tcPr/>
                <w:p>
                  <w:pPr>
                    <w:pStyle w:val="Compact"/>
                    <w:jc w:val="left"/>
                    <w:jc w:val="left"/>
                  </w:pPr>
                  <w:r>
                    <w:drawing>
                      <wp:inline>
                        <wp:extent cx="4499356" cy="1757560"/>
                        <wp:effectExtent b="0" l="0" r="0" t="0"/>
                        <wp:docPr descr="T7" title="" id="34" name="Picture"/>
                        <a:graphic>
                          <a:graphicData uri="http://schemas.openxmlformats.org/drawingml/2006/picture">
                            <pic:pic>
                              <pic:nvPicPr>
                                <pic:cNvPr descr="evidence/screenshots/report/fig3b-T7-denied.png" id="35" name="Picture"/>
                                <pic:cNvPicPr>
                                  <a:picLocks noChangeArrowheads="1" noChangeAspect="1"/>
                                </pic:cNvPicPr>
                              </pic:nvPicPr>
                              <pic:blipFill>
                                <a:blip r:embed="rId33"/>
                                <a:stretch>
                                  <a:fillRect/>
                                </a:stretch>
                              </pic:blipFill>
                              <pic:spPr bwMode="auto">
                                <a:xfrm>
                                  <a:off x="0" y="0"/>
                                  <a:ext cx="4499356" cy="1757560"/>
                                </a:xfrm>
                                <a:prstGeom prst="rect">
                                  <a:avLst/>
                                </a:prstGeom>
                                <a:noFill/>
                                <a:ln w="9525">
                                  <a:noFill/>
                                  <a:headEnd/>
                                  <a:tailEnd/>
                                </a:ln>
                              </pic:spPr>
                            </pic:pic>
                          </a:graphicData>
                        </a:graphic>
                      </wp:inline>
                    </w:drawing>
                  </w:r>
                </w:p>
              </w:tc>
            </w:tr>
          </w:tbl>
          <w:p>
            <w:pPr>
              <w:jc w:val="left"/>
            </w:pPr>
            <w:r>
              <w:rPr>
                <w:bCs/>
                <w:b/>
              </w:rPr>
              <w:t xml:space="preserve">Fig. 3 (T3, T7).</w:t>
            </w:r>
            <w:r>
              <w:t xml:space="preserve"> </w:t>
            </w:r>
            <w:r>
              <w:t xml:space="preserve">Security Lab as S001. Left: the replayed, then tampered, sign-in returns 401 and no new session is created. Right: the direct grade update returns 403, and the grade is unchanged.</w:t>
            </w:r>
          </w:p>
        </w:tc>
      </w:tr>
    </w:tbl>
    <w:bookmarkEnd w:id="36"/>
    <w:bookmarkStart w:id="37" w:name="security-interpretation"/>
    <w:p>
      <w:pPr>
        <w:pStyle w:val="Heading2"/>
      </w:pPr>
      <w:r>
        <w:t xml:space="preserve">3. Security Interpretation</w:t>
      </w:r>
    </w:p>
    <w:p>
      <w:pPr>
        <w:pStyle w:val="FirstParagraph"/>
      </w:pPr>
      <w:r>
        <w:rPr>
          <w:bCs/>
          <w:b/>
        </w:rPr>
        <w:t xml:space="preserve">A. Authentication vs. Authorization</w:t>
      </w:r>
      <w:r>
        <w:br/>
      </w:r>
      <w:r>
        <w:t xml:space="preserve">Passing T2 proves authentication: the server verified a fresh challenge signed by</w:t>
      </w:r>
      <w:r>
        <w:t xml:space="preserve"> </w:t>
      </w:r>
      <w:r>
        <w:rPr>
          <w:rStyle w:val="VerbatimChar"/>
        </w:rPr>
        <w:t xml:space="preserve">S001</w:t>
      </w:r>
      <w:r>
        <w:t xml:space="preserve">'s registered private key and bound</w:t>
      </w:r>
      <w:r>
        <w:t xml:space="preserve"> </w:t>
      </w:r>
      <w:r>
        <w:rPr>
          <w:rStyle w:val="VerbatimChar"/>
        </w:rPr>
        <w:t xml:space="preserve">req.session.user</w:t>
      </w:r>
      <w:r>
        <w:t xml:space="preserve"> </w:t>
      </w:r>
      <w:r>
        <w:t xml:space="preserve">to</w:t>
      </w:r>
      <w:r>
        <w:t xml:space="preserve"> </w:t>
      </w:r>
      <w:r>
        <w:rPr>
          <w:rStyle w:val="VerbatimChar"/>
        </w:rPr>
        <w:t xml:space="preserve">{ id: "S001", role: "student" }</w:t>
      </w:r>
      <w:r>
        <w:t xml:space="preserve">. However, authentication only answers</w:t>
      </w:r>
      <w:r>
        <w:t xml:space="preserve"> </w:t>
      </w:r>
      <w:r>
        <w:rPr>
          <w:iCs/>
          <w:i/>
        </w:rPr>
        <w:t xml:space="preserve">who</w:t>
      </w:r>
      <w:r>
        <w:t xml:space="preserve"> </w:t>
      </w:r>
      <w:r>
        <w:t xml:space="preserve">the caller is, not</w:t>
      </w:r>
      <w:r>
        <w:t xml:space="preserve"> </w:t>
      </w:r>
      <w:r>
        <w:rPr>
          <w:iCs/>
          <w:i/>
        </w:rPr>
        <w:t xml:space="preserve">what</w:t>
      </w:r>
      <w:r>
        <w:t xml:space="preserve"> </w:t>
      </w:r>
      <w:r>
        <w:t xml:space="preserve">resources or actions they are permitted to access. Allowing T6 or T7 merely because T2 succeeded would collapse authorization into authentication, enabling any authenticated student to read peers' transcripts (horizontal privilege escalation) or overwrite course grades (vertical privilege escalation). Our server enforces this boundary on every request in</w:t>
      </w:r>
      <w:r>
        <w:t xml:space="preserve"> </w:t>
      </w:r>
      <w:r>
        <w:rPr>
          <w:rStyle w:val="VerbatimChar"/>
        </w:rPr>
        <w:t xml:space="preserve">src/middleware/authz.js</w:t>
      </w:r>
      <w:r>
        <w:t xml:space="preserve">:</w:t>
      </w:r>
      <w:r>
        <w:t xml:space="preserve"> </w:t>
      </w:r>
      <w:r>
        <w:rPr>
          <w:rStyle w:val="VerbatimChar"/>
        </w:rPr>
        <w:t xml:space="preserve">authorizeStudentRecordRead</w:t>
      </w:r>
      <w:r>
        <w:t xml:space="preserve"> </w:t>
      </w:r>
      <w:r>
        <w:t xml:space="preserve">checks</w:t>
      </w:r>
      <w:r>
        <w:t xml:space="preserve"> </w:t>
      </w:r>
      <w:r>
        <w:rPr>
          <w:rStyle w:val="VerbatimChar"/>
        </w:rPr>
        <w:t xml:space="preserve">actor.id === req.params.studentId</w:t>
      </w:r>
      <w:r>
        <w:t xml:space="preserve"> </w:t>
      </w:r>
      <w:r>
        <w:t xml:space="preserve">for students (returning HTTP 403 in T6), while</w:t>
      </w:r>
      <w:r>
        <w:t xml:space="preserve"> </w:t>
      </w:r>
      <w:r>
        <w:rPr>
          <w:rStyle w:val="VerbatimChar"/>
        </w:rPr>
        <w:t xml:space="preserve">authorizeGradeUpdate</w:t>
      </w:r>
      <w:r>
        <w:t xml:space="preserve"> </w:t>
      </w:r>
      <w:r>
        <w:t xml:space="preserve">checks</w:t>
      </w:r>
      <w:r>
        <w:t xml:space="preserve"> </w:t>
      </w:r>
      <w:r>
        <w:rPr>
          <w:rStyle w:val="VerbatimChar"/>
        </w:rPr>
        <w:t xml:space="preserve">actor.role === "lecturer"</w:t>
      </w:r>
      <w:r>
        <w:t xml:space="preserve"> </w:t>
      </w:r>
      <w:r>
        <w:t xml:space="preserve">and</w:t>
      </w:r>
      <w:r>
        <w:t xml:space="preserve"> </w:t>
      </w:r>
      <w:r>
        <w:rPr>
          <w:rStyle w:val="VerbatimChar"/>
        </w:rPr>
        <w:t xml:space="preserve">course.lecturerId === actor.id</w:t>
      </w:r>
      <w:r>
        <w:t xml:space="preserve"> </w:t>
      </w:r>
      <w:r>
        <w:t xml:space="preserve">before any database write occurs (returning HTTP 403 in T7 and leaving</w:t>
      </w:r>
      <w:r>
        <w:t xml:space="preserve"> </w:t>
      </w:r>
      <w:r>
        <w:rPr>
          <w:rStyle w:val="VerbatimChar"/>
        </w:rPr>
        <w:t xml:space="preserve">S001</w:t>
      </w:r>
      <w:r>
        <w:t xml:space="preserve">'s grade unchanged at</w:t>
      </w:r>
      <w:r>
        <w:t xml:space="preserve"> </w:t>
      </w:r>
      <w:r>
        <w:rPr>
          <w:rStyle w:val="VerbatimChar"/>
        </w:rPr>
        <w:t xml:space="preserve">B+</w:t>
      </w:r>
      <w:r>
        <w:t xml:space="preserve">).</w:t>
      </w:r>
    </w:p>
    <w:p>
      <w:pPr>
        <w:pStyle w:val="BodyText"/>
      </w:pPr>
      <w:r>
        <w:rPr>
          <w:bCs/>
          <w:b/>
        </w:rPr>
        <w:t xml:space="preserve">B. Residual Weakness and Proportionate Mitigation</w:t>
      </w:r>
      <w:r>
        <w:br/>
      </w:r>
      <w:r>
        <w:t xml:space="preserve">A realistic residual weakness in our implementation is initial passkey enrollment and account recovery via static enrollment codes (</w:t>
      </w:r>
      <w:r>
        <w:rPr>
          <w:rStyle w:val="VerbatimChar"/>
        </w:rPr>
        <w:t xml:space="preserve">enrollmentCode</w:t>
      </w:r>
      <w:r>
        <w:t xml:space="preserve"> </w:t>
      </w:r>
      <w:r>
        <w:t xml:space="preserve">in</w:t>
      </w:r>
      <w:r>
        <w:t xml:space="preserve"> </w:t>
      </w:r>
      <w:r>
        <w:rPr>
          <w:rStyle w:val="VerbatimChar"/>
        </w:rPr>
        <w:t xml:space="preserve">data/seed.json</w:t>
      </w:r>
      <w:r>
        <w:t xml:space="preserve">). If an attacker intercepts an unused enrollment code or compromises a help-desk re-enrollment workflow, they can bind their own authenticator to the victim's account before the legitimate user enrolls. A proportionate fix is replacing static codes with short-lived (e.g., 10-minute TTL), cryptographically random one-time enrollment tokens tied to out-of-band identity verification, coupled with immediate notification and mandatory re-verification of existing sessions whenever a new passkey is added.</w:t>
      </w:r>
    </w:p>
    <w:p>
      <w:pPr>
        <w:pStyle w:val="BodyText"/>
      </w:pPr>
      <w:r>
        <w:rPr>
          <w:bCs/>
          <w:b/>
        </w:rPr>
        <w:t xml:space="preserve">C. Transfer to SLS ProSit 2</w:t>
      </w:r>
      <w:r>
        <w:br/>
      </w:r>
      <w:r>
        <w:t xml:space="preserve">This directly mirrors the core flaw in SLS ProSit 2 (Stage 1), where Management proposes placing all company systems behind one Single Sign-On login with MFA and assuming the access problem is solved. As Amy Windahl rightly objects, strong login only proves</w:t>
      </w:r>
      <w:r>
        <w:t xml:space="preserve"> </w:t>
      </w:r>
      <w:r>
        <w:rPr>
          <w:iCs/>
          <w:i/>
        </w:rPr>
        <w:t xml:space="preserve">who</w:t>
      </w:r>
      <w:r>
        <w:t xml:space="preserve"> </w:t>
      </w:r>
      <w:r>
        <w:t xml:space="preserve">signed in—just as T2 authenticated</w:t>
      </w:r>
      <w:r>
        <w:t xml:space="preserve"> </w:t>
      </w:r>
      <w:r>
        <w:rPr>
          <w:rStyle w:val="VerbatimChar"/>
        </w:rPr>
        <w:t xml:space="preserve">S001</w:t>
      </w:r>
      <w:r>
        <w:t xml:space="preserve">—without governing what that identity may do afterward. In SLS, an employee who transferred from Finance to Procurement six weeks ago still retains permission to modify supplier-payment records, and the order-processing service account holds unexplained access to a Finance folder. Even if SLS upgrades every user to phishing-resistant passkeys, those excessive privileges remain exploitable unless SLS enforces least-privilege, role- and resource-scoped authorization checks (like our T6/T7 middleware) and revokes stale role assignments immediately upon job transfer.</w:t>
      </w:r>
    </w:p>
    <w:p>
      <w:pPr>
        <w:pStyle w:val="BodyText"/>
      </w:pPr>
      <w:r>
        <w:rPr>
          <w:iCs/>
          <w:i/>
        </w:rPr>
        <w:t xml:space="preserve">Full screenshots for every test:</w:t>
      </w:r>
      <w:r>
        <w:rPr>
          <w:iCs/>
          <w:i/>
        </w:rPr>
        <w:t xml:space="preserve"> </w:t>
      </w:r>
      <w:r>
        <w:rPr>
          <w:rStyle w:val="VerbatimChar"/>
          <w:iCs/>
          <w:i/>
        </w:rPr>
        <w:t xml:space="preserve">evidence/screenshots/</w:t>
      </w:r>
      <w:r>
        <w:rPr>
          <w:iCs/>
          <w:i/>
        </w:rPr>
        <w:t xml:space="preserve">. Part B (AES-GCM) is submitted separately:</w:t>
      </w:r>
      <w:r>
        <w:rPr>
          <w:iCs/>
          <w:i/>
        </w:rPr>
        <w:t xml:space="preserve"> </w:t>
      </w:r>
      <w:r>
        <w:rPr>
          <w:rStyle w:val="VerbatimChar"/>
          <w:iCs/>
          <w:i/>
        </w:rPr>
        <w:t xml:space="preserve">PART_B_ADDENDUM.md</w:t>
      </w:r>
      <w:r>
        <w:rPr>
          <w:iCs/>
          <w:i/>
        </w:rPr>
        <w:t xml:space="preserve">.</w:t>
      </w:r>
    </w:p>
    <w:bookmarkEnd w:id="37"/>
    <w:bookmarkEnd w:id="38"/>
    <w:sectPr>
      <w:pgSz w:h="16838" w:w="11906"/>
      <w:pgMar w:bottom="737" w:footer="400" w:gutter="0" w:header="400" w:left="737" w:right="737" w:top="7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18"/>
        <w:szCs w:val="18"/>
        <w:lang w:bidi="ar-SA" w:eastAsia="en-US" w:val="en-US"/>
      </w:rPr>
    </w:rPrDefault>
    <w:pPrDefault>
      <w:pPr>
        <w:spacing w:after="60" w:line="252"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70" w:before="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0" w:before="0"/>
    </w:pPr>
  </w:style>
  <w:style w:styleId="Title" w:type="paragraph">
    <w:name w:val="Title"/>
    <w:basedOn w:val="Normal"/>
    <w:next w:val="BodyText"/>
    <w:qFormat/>
    <w:pPr>
      <w:keepNext/>
      <w:keepLines/>
      <w:spacing w:after="50" w:before="0"/>
      <w:jc w:val="center"/>
    </w:pPr>
    <w:rPr>
      <w:rFonts w:asciiTheme="majorHAnsi" w:cstheme="majorBidi" w:eastAsiaTheme="majorEastAsia" w:hAnsiTheme="majorHAnsi"/>
      <w:b/>
      <w:bCs/>
      <w:color w:themeColor="accent1" w:themeShade="B5" w:val="345A8A"/>
      <w:sz w:val="30"/>
      <w:szCs w:val="30"/>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50" w:before="120"/>
      <w:outlineLvl w:val="0"/>
    </w:pPr>
    <w:rPr>
      <w:rFonts w:asciiTheme="majorHAnsi" w:cstheme="majorBidi" w:eastAsiaTheme="majorEastAsia" w:hAnsiTheme="majorHAnsi"/>
      <w:b/>
      <w:bCs/>
      <w:color w:themeColor="accent1" w:val="4F81BD"/>
      <w:sz w:val="28"/>
      <w:szCs w:val="28"/>
    </w:rPr>
  </w:style>
  <w:style w:styleId="Heading2" w:type="paragraph">
    <w:name w:val="Heading 2"/>
    <w:basedOn w:val="Normal"/>
    <w:next w:val="BodyText"/>
    <w:uiPriority w:val="9"/>
    <w:unhideWhenUsed/>
    <w:qFormat/>
    <w:pPr>
      <w:keepNext/>
      <w:keepLines/>
      <w:spacing w:after="50" w:before="160"/>
      <w:outlineLvl w:val="1"/>
    </w:pPr>
    <w:rPr>
      <w:rFonts w:asciiTheme="majorHAnsi" w:cstheme="majorBidi" w:eastAsiaTheme="majorEastAsia" w:hAnsiTheme="majorHAnsi"/>
      <w:b/>
      <w:bCs/>
      <w:color w:themeColor="accent1" w:val="4F81BD"/>
      <w:sz w:val="22"/>
      <w:szCs w:val="22"/>
    </w:rPr>
  </w:style>
  <w:style w:styleId="Heading3" w:type="paragraph">
    <w:name w:val="Heading 3"/>
    <w:basedOn w:val="Normal"/>
    <w:next w:val="BodyText"/>
    <w:uiPriority w:val="9"/>
    <w:unhideWhenUsed/>
    <w:qFormat/>
    <w:pPr>
      <w:keepNext/>
      <w:keepLines/>
      <w:spacing w:after="50" w:before="100"/>
      <w:outlineLvl w:val="2"/>
    </w:pPr>
    <w:rPr>
      <w:rFonts w:asciiTheme="majorHAnsi" w:cstheme="majorBidi" w:eastAsiaTheme="majorEastAsia" w:hAnsiTheme="majorHAnsi"/>
      <w:b/>
      <w:bCs/>
      <w:color w:themeColor="accent1" w:val="4F81BD"/>
      <w:sz w:val="19"/>
      <w:szCs w:val="19"/>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D9C9CC" w:sz="4" w:val="single"/>
        <w:left w:color="D9C9CC" w:sz="4" w:val="single"/>
        <w:bottom w:color="D9C9CC" w:sz="4" w:val="single"/>
        <w:right w:color="D9C9CC" w:sz="4" w:val="single"/>
        <w:insideH w:color="D9C9CC" w:sz="4" w:val="single"/>
        <w:insideV w:color="D9C9CC" w:sz="4" w:val="single"/>
      </w:tblBorders>
      <w:tblCellMar>
        <w:top w:type="dxa" w:w="20"/>
        <w:left w:type="dxa" w:w="70"/>
        <w:bottom w:type="dxa" w:w="20"/>
        <w:right w:type="dxa" w:w="70"/>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4"/>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2026-10-17T16:00:18Z</dcterms:created>
  <dcterms:modified xsi:type="dcterms:W3CDTF">2026-10-17T16:00:18Z</dcterms:modified>
</cp:coreProperties>
</file>

<file path=docProps/custom.xml><?xml version="1.0" encoding="utf-8"?>
<Properties xmlns="http://schemas.openxmlformats.org/officeDocument/2006/custom-properties" xmlns:vt="http://schemas.openxmlformats.org/officeDocument/2006/docPropsVTypes"/>
</file>