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fbd1118f2ac92db46ae23e1769ee1e396fbf1c"/>
    <w:p>
      <w:pPr>
        <w:pStyle w:val="Heading1"/>
      </w:pPr>
      <w:r>
        <w:t xml:space="preserve">ICS570 Lab 2 — Part B Addendum: AES-GCM Protection of a Student-Data Export</w:t>
      </w:r>
    </w:p>
    <w:p>
      <w:pPr>
        <w:pStyle w:val="FirstParagraph"/>
      </w:pPr>
      <w:r>
        <w:rPr>
          <w:bCs/>
          <w:b/>
        </w:rPr>
        <w:t xml:space="preserve">Group 1 members:</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Student ID</w:t>
            </w:r>
          </w:p>
        </w:tc>
        <w:tc>
          <w:tcPr/>
          <w:p>
            <w:pPr>
              <w:pStyle w:val="Compact"/>
              <w:jc w:val="left"/>
            </w:pPr>
            <w:r>
              <w:t xml:space="preserve">Name</w:t>
            </w:r>
          </w:p>
        </w:tc>
      </w:tr>
      <w:tr>
        <w:tc>
          <w:tcPr/>
          <w:p>
            <w:pPr>
              <w:pStyle w:val="Compact"/>
              <w:jc w:val="left"/>
            </w:pPr>
            <w:r>
              <w:t xml:space="preserve">G35532028</w:t>
            </w:r>
          </w:p>
        </w:tc>
        <w:tc>
          <w:tcPr/>
          <w:p>
            <w:pPr>
              <w:pStyle w:val="Compact"/>
              <w:jc w:val="left"/>
            </w:pPr>
            <w:r>
              <w:t xml:space="preserve">Elise Oyilonye Kennedy-Angbo</w:t>
            </w:r>
          </w:p>
        </w:tc>
      </w:tr>
      <w:tr>
        <w:tc>
          <w:tcPr/>
          <w:p>
            <w:pPr>
              <w:pStyle w:val="Compact"/>
              <w:jc w:val="left"/>
            </w:pPr>
            <w:r>
              <w:t xml:space="preserve">G90412028</w:t>
            </w:r>
          </w:p>
        </w:tc>
        <w:tc>
          <w:tcPr/>
          <w:p>
            <w:pPr>
              <w:pStyle w:val="Compact"/>
              <w:jc w:val="left"/>
            </w:pPr>
            <w:r>
              <w:t xml:space="preserve">Joseph Delali Kodzo Etse</w:t>
            </w:r>
          </w:p>
        </w:tc>
      </w:tr>
      <w:tr>
        <w:tc>
          <w:tcPr/>
          <w:p>
            <w:pPr>
              <w:pStyle w:val="Compact"/>
              <w:jc w:val="left"/>
            </w:pPr>
            <w:r>
              <w:t xml:space="preserve">G01322028</w:t>
            </w:r>
          </w:p>
        </w:tc>
        <w:tc>
          <w:tcPr/>
          <w:p>
            <w:pPr>
              <w:pStyle w:val="Compact"/>
              <w:jc w:val="left"/>
            </w:pPr>
            <w:r>
              <w:t xml:space="preserve">Liza Ekua Ndede Aikins</w:t>
            </w:r>
          </w:p>
        </w:tc>
      </w:tr>
      <w:tr>
        <w:tc>
          <w:tcPr/>
          <w:p>
            <w:pPr>
              <w:pStyle w:val="Compact"/>
              <w:jc w:val="left"/>
            </w:pPr>
            <w:r>
              <w:t xml:space="preserve">G25522028</w:t>
            </w:r>
          </w:p>
        </w:tc>
        <w:tc>
          <w:tcPr/>
          <w:p>
            <w:pPr>
              <w:pStyle w:val="Compact"/>
              <w:jc w:val="left"/>
            </w:pPr>
            <w:r>
              <w:t xml:space="preserve">Eugene Emmanuel Sewor</w:t>
            </w:r>
          </w:p>
        </w:tc>
      </w:tr>
    </w:tbl>
    <w:p>
      <w:pPr>
        <w:pStyle w:val="BodyText"/>
      </w:pPr>
      <w:r>
        <w:t xml:space="preserve">Run with</w:t>
      </w:r>
      <w:r>
        <w:t xml:space="preserve"> </w:t>
      </w:r>
      <w:r>
        <w:rPr>
          <w:rStyle w:val="VerbatimChar"/>
        </w:rPr>
        <w:t xml:space="preserve">npm run demo:crypto</w:t>
      </w:r>
      <w:r>
        <w:t xml:space="preserve"> </w:t>
      </w:r>
      <w:r>
        <w:t xml:space="preserve">(</w:t>
      </w:r>
      <w:r>
        <w:rPr>
          <w:rStyle w:val="VerbatimChar"/>
        </w:rPr>
        <w:t xml:space="preserve">scripts/part-b-crypto-demo.js</w:t>
      </w:r>
      <w:r>
        <w:t xml:space="preserve">, log in</w:t>
      </w:r>
      <w:r>
        <w:t xml:space="preserve"> </w:t>
      </w:r>
      <w:r>
        <w:rPr>
          <w:rStyle w:val="VerbatimChar"/>
        </w:rPr>
        <w:t xml:space="preserve">evidence/part-b-crypto-log.json</w:t>
      </w:r>
      <w:r>
        <w:t xml:space="preserve">). The script uses Node's built-in</w:t>
      </w:r>
      <w:r>
        <w:t xml:space="preserve"> </w:t>
      </w:r>
      <w:r>
        <w:rPr>
          <w:rStyle w:val="VerbatimChar"/>
        </w:rPr>
        <w:t xml:space="preserve">crypto</w:t>
      </w:r>
      <w:r>
        <w:t xml:space="preserve"> </w:t>
      </w:r>
      <w:r>
        <w:t xml:space="preserve">AES-256-GCM; no AES is implemented by hand.</w:t>
      </w:r>
    </w:p>
    <w:p>
      <w:pPr>
        <w:pStyle w:val="SourceCode"/>
      </w:pPr>
      <w:r>
        <w:rPr>
          <w:rStyle w:val="VerbatimChar"/>
        </w:rPr>
        <w:t xml:space="preserve">[1] Fresh 96-bit Nonce Verification (Two encryptions of identical record):</w:t>
      </w:r>
      <w:r>
        <w:br/>
      </w:r>
      <w:r>
        <w:rPr>
          <w:rStyle w:val="VerbatimChar"/>
        </w:rPr>
        <w:t xml:space="preserve">    Encryption #1 Nonce (96-bit): 395d0368af7b839ff4b830e5</w:t>
      </w:r>
      <w:r>
        <w:br/>
      </w:r>
      <w:r>
        <w:rPr>
          <w:rStyle w:val="VerbatimChar"/>
        </w:rPr>
        <w:t xml:space="preserve">    Encryption #2 Nonce (96-bit): 950058cc97cf51143cbc8e65</w:t>
      </w:r>
      <w:r>
        <w:br/>
      </w:r>
      <w:r>
        <w:rPr>
          <w:rStyle w:val="VerbatimChar"/>
        </w:rPr>
        <w:t xml:space="preserve">    Nonces Unique?                true</w:t>
      </w:r>
      <w:r>
        <w:br/>
      </w:r>
      <w:r>
        <w:rPr>
          <w:rStyle w:val="VerbatimChar"/>
        </w:rPr>
        <w:t xml:space="preserve">    Ciphertexts Distinct?         true</w:t>
      </w:r>
      <w:r>
        <w:br/>
      </w:r>
      <w:r>
        <w:br/>
      </w:r>
      <w:r>
        <w:rPr>
          <w:rStyle w:val="VerbatimChar"/>
        </w:rPr>
        <w:t xml:space="preserve">[2] Authorized AES-256-GCM Decryption:</w:t>
      </w:r>
      <w:r>
        <w:br/>
      </w:r>
      <w:r>
        <w:rPr>
          <w:rStyle w:val="VerbatimChar"/>
        </w:rPr>
        <w:t xml:space="preserve">    Auth Tag (128-bit):           4630ff0797243536d3ddc99857f1399f</w:t>
      </w:r>
      <w:r>
        <w:br/>
      </w:r>
      <w:r>
        <w:rPr>
          <w:rStyle w:val="VerbatimChar"/>
        </w:rPr>
        <w:t xml:space="preserve">    Restored Matches Original?    true</w:t>
      </w:r>
      <w:r>
        <w:br/>
      </w:r>
      <w:r>
        <w:rPr>
          <w:rStyle w:val="VerbatimChar"/>
        </w:rPr>
        <w:t xml:space="preserve">    Restored Student ID &amp; Grade:  S001 -&gt; A</w:t>
      </w:r>
      <w:r>
        <w:br/>
      </w:r>
      <w:r>
        <w:br/>
      </w:r>
      <w:r>
        <w:rPr>
          <w:rStyle w:val="VerbatimChar"/>
        </w:rPr>
        <w:t xml:space="preserve">[3] Integrity &amp; Tamper Detection Tests:</w:t>
      </w:r>
      <w:r>
        <w:br/>
      </w:r>
      <w:r>
        <w:rPr>
          <w:rStyle w:val="VerbatimChar"/>
        </w:rPr>
        <w:t xml:space="preserve">    Tampered Ciphertext Byte Rejected? true (Unsupported state or unable to authenticate data)</w:t>
      </w:r>
      <w:r>
        <w:br/>
      </w:r>
      <w:r>
        <w:rPr>
          <w:rStyle w:val="VerbatimChar"/>
        </w:rPr>
        <w:t xml:space="preserve">    Tampered Auth Tag Byte Rejected?   true (Unsupported state or unable to authenticate data)</w:t>
      </w:r>
    </w:p>
    <w:bookmarkStart w:id="20" w:name="Xe9f2f61f05f2837231266e890a868de269cabdf"/>
    <w:p>
      <w:pPr>
        <w:pStyle w:val="Heading3"/>
      </w:pPr>
      <w:r>
        <w:t xml:space="preserve">Why Nonce Uniqueness and Key Protection Matter</w:t>
      </w:r>
    </w:p>
    <w:p>
      <w:pPr>
        <w:pStyle w:val="FirstParagraph"/>
      </w:pPr>
      <w:r>
        <w:t xml:space="preserve">In AES-GCM, the 96-bit nonce initializes the counter mode keystream (</w:t>
      </w:r>
      <w:r>
        <w:rPr>
          <w:rStyle w:val="VerbatimChar"/>
        </w:rPr>
        <w:t xml:space="preserve">CTR</w:t>
      </w:r>
      <w:r>
        <w:t xml:space="preserve">) and the Galois field polynomial authenticator (</w:t>
      </w:r>
      <w:r>
        <w:rPr>
          <w:rStyle w:val="VerbatimChar"/>
        </w:rPr>
        <w:t xml:space="preserve">GHASH</w:t>
      </w:r>
      <w:r>
        <w:t xml:space="preserve">). Reusing a</w:t>
      </w:r>
      <w:r>
        <w:t xml:space="preserve"> </w:t>
      </w:r>
      <w:r>
        <w:rPr>
          <w:rStyle w:val="VerbatimChar"/>
        </w:rPr>
        <w:t xml:space="preserve">(key, nonce)</w:t>
      </w:r>
      <w:r>
        <w:t xml:space="preserve"> </w:t>
      </w:r>
      <w:r>
        <w:t xml:space="preserve">pair across two plaintexts leaks the XOR of both plaintexts (</w:t>
      </w:r>
      <w:r>
        <w:rPr>
          <w:rStyle w:val="VerbatimChar"/>
        </w:rPr>
        <w:t xml:space="preserve">C1 ⊕ C2 = P1 ⊕ P2</w:t>
      </w:r>
      <w:r>
        <w:t xml:space="preserve">) and allows an attacker to solve for the internal</w:t>
      </w:r>
      <w:r>
        <w:t xml:space="preserve"> </w:t>
      </w:r>
      <w:r>
        <w:rPr>
          <w:rStyle w:val="VerbatimChar"/>
        </w:rPr>
        <w:t xml:space="preserve">GHASH</w:t>
      </w:r>
      <w:r>
        <w:t xml:space="preserve"> </w:t>
      </w:r>
      <w:r>
        <w:t xml:space="preserve">authentication key</w:t>
      </w:r>
      <w:r>
        <w:t xml:space="preserve"> </w:t>
      </w:r>
      <w:r>
        <w:rPr>
          <w:rStyle w:val="VerbatimChar"/>
        </w:rPr>
        <w:t xml:space="preserve">H</w:t>
      </w:r>
      <w:r>
        <w:t xml:space="preserve">, enabling arbitrary ciphertext forgery.</w:t>
      </w:r>
    </w:p>
    <w:bookmarkEnd w:id="20"/>
    <w:bookmarkStart w:id="21" w:name="Xb19559222b761083b2e65adc6938315ada6bfb8"/>
    <w:p>
      <w:pPr>
        <w:pStyle w:val="Heading3"/>
      </w:pPr>
      <w:r>
        <w:t xml:space="preserve">Why AES-GCM Does Not Replace Passkey Authentication or Authorization</w:t>
      </w:r>
    </w:p>
    <w:p>
      <w:pPr>
        <w:pStyle w:val="FirstParagraph"/>
      </w:pPr>
      <w:r>
        <w:t xml:space="preserve">AES-GCM provides confidentiality and integrity for data in transit or at rest (such as an exported student transcript file), ensuring that unauthorized parties without the secret key cannot read or silently alter the exported ciphertext. However, encryption does not identify who is sitting at the browser or making an HTTP request; WebAuthn passkey authentication is required to cryptographically prove the live identity of the user (e.g.,</w:t>
      </w:r>
      <w:r>
        <w:t xml:space="preserve"> </w:t>
      </w:r>
      <w:r>
        <w:rPr>
          <w:rStyle w:val="VerbatimChar"/>
        </w:rPr>
        <w:t xml:space="preserve">S001</w:t>
      </w:r>
      <w:r>
        <w:t xml:space="preserve"> </w:t>
      </w:r>
      <w:r>
        <w:t xml:space="preserve">versus</w:t>
      </w:r>
      <w:r>
        <w:t xml:space="preserve"> </w:t>
      </w:r>
      <w:r>
        <w:rPr>
          <w:rStyle w:val="VerbatimChar"/>
        </w:rPr>
        <w:t xml:space="preserve">L001</w:t>
      </w:r>
      <w:r>
        <w:t xml:space="preserve">). Furthermore, even if the application server holds the AES-GCM key to decrypt records in storage, server-side authorization is still required on every request to decide whether the authenticated user has permission to view a specific student record or modify a course grade. Without authentication and per-request authorization, an application that automatically decrypts records for any logged-in session would still allow</w:t>
      </w:r>
      <w:r>
        <w:t xml:space="preserve"> </w:t>
      </w:r>
      <w:r>
        <w:rPr>
          <w:rStyle w:val="VerbatimChar"/>
        </w:rPr>
        <w:t xml:space="preserve">S001</w:t>
      </w:r>
      <w:r>
        <w:t xml:space="preserve"> </w:t>
      </w:r>
      <w:r>
        <w:t xml:space="preserve">to read</w:t>
      </w:r>
      <w:r>
        <w:t xml:space="preserve"> </w:t>
      </w:r>
      <w:r>
        <w:rPr>
          <w:rStyle w:val="VerbatimChar"/>
        </w:rPr>
        <w:t xml:space="preserve">S002</w:t>
      </w:r>
      <w:r>
        <w:t xml:space="preserve">'s decrypted record (T6) or overwrite grades (T7).</w:t>
      </w:r>
    </w:p>
    <w:bookmarkEnd w:id="21"/>
    <w:bookmarkEnd w:id="22"/>
    <w:sectPr>
      <w:pgSz w:h="16838" w:w="11906"/>
      <w:pgMar w:bottom="737" w:footer="400" w:gutter="0" w:header="400" w:left="737" w:right="737" w:top="7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18"/>
        <w:szCs w:val="18"/>
        <w:lang w:bidi="ar-SA" w:eastAsia="en-US" w:val="en-US"/>
      </w:rPr>
    </w:rPrDefault>
    <w:pPrDefault>
      <w:pPr>
        <w:spacing w:after="6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70" w:before="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pPr>
  </w:style>
  <w:style w:styleId="Title" w:type="paragraph">
    <w:name w:val="Title"/>
    <w:basedOn w:val="Normal"/>
    <w:next w:val="BodyText"/>
    <w:qFormat/>
    <w:pPr>
      <w:keepNext/>
      <w:keepLines/>
      <w:spacing w:after="50" w:before="0"/>
      <w:jc w:val="center"/>
    </w:pPr>
    <w:rPr>
      <w:rFonts w:asciiTheme="majorHAnsi" w:cstheme="majorBidi" w:eastAsiaTheme="majorEastAsia" w:hAnsiTheme="majorHAnsi"/>
      <w:b/>
      <w:bCs/>
      <w:color w:themeColor="accent1" w:themeShade="B5" w:val="345A8A"/>
      <w:sz w:val="30"/>
      <w:szCs w:val="3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50" w:before="120"/>
      <w:outlineLvl w:val="0"/>
    </w:pPr>
    <w:rPr>
      <w:rFonts w:asciiTheme="majorHAnsi" w:cstheme="majorBidi" w:eastAsiaTheme="majorEastAsia" w:hAnsiTheme="majorHAnsi"/>
      <w:b/>
      <w:bCs/>
      <w:color w:themeColor="accent1" w:val="4F81BD"/>
      <w:sz w:val="28"/>
      <w:szCs w:val="28"/>
    </w:rPr>
  </w:style>
  <w:style w:styleId="Heading2" w:type="paragraph">
    <w:name w:val="Heading 2"/>
    <w:basedOn w:val="Normal"/>
    <w:next w:val="BodyText"/>
    <w:uiPriority w:val="9"/>
    <w:unhideWhenUsed/>
    <w:qFormat/>
    <w:pPr>
      <w:keepNext/>
      <w:keepLines/>
      <w:spacing w:after="50" w:before="160"/>
      <w:outlineLvl w:val="1"/>
    </w:pPr>
    <w:rPr>
      <w:rFonts w:asciiTheme="majorHAnsi" w:cstheme="majorBidi" w:eastAsiaTheme="majorEastAsia" w:hAnsiTheme="majorHAnsi"/>
      <w:b/>
      <w:bCs/>
      <w:color w:themeColor="accent1" w:val="4F81BD"/>
      <w:sz w:val="22"/>
      <w:szCs w:val="22"/>
    </w:rPr>
  </w:style>
  <w:style w:styleId="Heading3" w:type="paragraph">
    <w:name w:val="Heading 3"/>
    <w:basedOn w:val="Normal"/>
    <w:next w:val="BodyText"/>
    <w:uiPriority w:val="9"/>
    <w:unhideWhenUsed/>
    <w:qFormat/>
    <w:pPr>
      <w:keepNext/>
      <w:keepLines/>
      <w:spacing w:after="50" w:before="100"/>
      <w:outlineLvl w:val="2"/>
    </w:pPr>
    <w:rPr>
      <w:rFonts w:asciiTheme="majorHAnsi" w:cstheme="majorBidi" w:eastAsiaTheme="majorEastAsia" w:hAnsiTheme="majorHAnsi"/>
      <w:b/>
      <w:bCs/>
      <w:color w:themeColor="accent1" w:val="4F81BD"/>
      <w:sz w:val="19"/>
      <w:szCs w:val="19"/>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D9C9CC" w:sz="4" w:val="single"/>
        <w:left w:color="D9C9CC" w:sz="4" w:val="single"/>
        <w:bottom w:color="D9C9CC" w:sz="4" w:val="single"/>
        <w:right w:color="D9C9CC" w:sz="4" w:val="single"/>
        <w:insideH w:color="D9C9CC" w:sz="4" w:val="single"/>
        <w:insideV w:color="D9C9CC" w:sz="4" w:val="single"/>
      </w:tblBorders>
      <w:tblCellMar>
        <w:top w:type="dxa" w:w="20"/>
        <w:left w:type="dxa" w:w="70"/>
        <w:bottom w:type="dxa" w:w="20"/>
        <w:right w:type="dxa" w:w="70"/>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2026-10-17T16:00:18Z</dcterms:created>
  <dcterms:modified xsi:type="dcterms:W3CDTF">2026-10-17T16:00:18Z</dcterms:modified>
</cp:coreProperties>
</file>

<file path=docProps/custom.xml><?xml version="1.0" encoding="utf-8"?>
<Properties xmlns="http://schemas.openxmlformats.org/officeDocument/2006/custom-properties" xmlns:vt="http://schemas.openxmlformats.org/officeDocument/2006/docPropsVTypes"/>
</file>