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0af87c1533b7927823d782ada26eb2693185209"/>
    <w:p>
      <w:pPr>
        <w:pStyle w:val="Heading1"/>
      </w:pPr>
      <w:r>
        <w:t xml:space="preserve">Ashesi Secure Student Records Portal (ICS570 Lab 2)</w:t>
      </w:r>
    </w:p>
    <w:p>
      <w:pPr>
        <w:pStyle w:val="FirstParagraph"/>
      </w:pPr>
      <w:r>
        <w:t xml:space="preserve">Passkey (WebAuthn/FIDO2) sign-in, per-request server-side RBAC and record-ownership checks, and an AES-256-GCM demo (Part B). All data is synthetic.</w:t>
      </w:r>
      <w:r>
        <w:t xml:space="preserve"> </w:t>
      </w:r>
      <w:r>
        <w:rPr>
          <w:bCs/>
          <w:b/>
        </w:rPr>
        <w:t xml:space="preserve">Group 1:</w:t>
      </w:r>
      <w:r>
        <w:t xml:space="preserve"> </w:t>
      </w:r>
      <w:r>
        <w:t xml:space="preserve">Elise Oyilonye Kennedy-Angbo (G35532028) · Joseph Delali Kodzo Etse (G90412028) · Liza Ekua Ndede Aikins (G01322028) · Eugene Emmanuel Sewor (G25522028)</w:t>
      </w:r>
    </w:p>
    <w:bookmarkStart w:id="20" w:name="stack-prerequisites"/>
    <w:p>
      <w:pPr>
        <w:pStyle w:val="Heading2"/>
      </w:pPr>
      <w:r>
        <w:t xml:space="preserve">1. Stack &amp; prerequisites</w:t>
      </w:r>
    </w:p>
    <w:p>
      <w:pPr>
        <w:pStyle w:val="FirstParagraph"/>
      </w:pPr>
      <w:r>
        <w:t xml:space="preserve">Node.js 20+ and npm. Express,</w:t>
      </w:r>
      <w:r>
        <w:t xml:space="preserve"> </w:t>
      </w:r>
      <w:r>
        <w:rPr>
          <w:rStyle w:val="VerbatimChar"/>
        </w:rPr>
        <w:t xml:space="preserve">express-session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SameSite=Lax</w:t>
      </w:r>
      <w:r>
        <w:t xml:space="preserve">),</w:t>
      </w:r>
      <w:r>
        <w:t xml:space="preserve"> </w:t>
      </w:r>
      <w:r>
        <w:rPr>
          <w:rStyle w:val="VerbatimChar"/>
        </w:rPr>
        <w:t xml:space="preserve">@simplewebauthn/server</w:t>
      </w:r>
      <w:r>
        <w:t xml:space="preserve">. The frontend is static HTML/CSS/ES modules in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 </w:t>
      </w:r>
      <w:r>
        <w:t xml:space="preserve">using the native WebAuthn API with</w:t>
      </w:r>
      <w:r>
        <w:t xml:space="preserve"> </w:t>
      </w:r>
      <w:r>
        <w:rPr>
          <w:rStyle w:val="VerbatimChar"/>
        </w:rPr>
        <w:t xml:space="preserve">webauthn-polyfills</w:t>
      </w:r>
      <w:r>
        <w:t xml:space="preserve">, with no build step. Data is seeded from</w:t>
      </w:r>
      <w:r>
        <w:t xml:space="preserve"> </w:t>
      </w:r>
      <w:r>
        <w:rPr>
          <w:rStyle w:val="VerbatimChar"/>
        </w:rPr>
        <w:t xml:space="preserve">data/seed.json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data/db.json</w:t>
      </w:r>
      <w:r>
        <w:t xml:space="preserve">.</w:t>
      </w:r>
    </w:p>
    <w:bookmarkEnd w:id="20"/>
    <w:bookmarkStart w:id="21" w:name="install-run"/>
    <w:p>
      <w:pPr>
        <w:pStyle w:val="Heading2"/>
      </w:pPr>
      <w:r>
        <w:t xml:space="preserve">2. Install &amp; run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         </w:t>
      </w:r>
      <w:r>
        <w:rPr>
          <w:rStyle w:val="CommentTok"/>
        </w:rPr>
        <w:t xml:space="preserve"># dependencies from package-lock.json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reset        </w:t>
      </w:r>
      <w:r>
        <w:rPr>
          <w:rStyle w:val="CommentTok"/>
        </w:rPr>
        <w:t xml:space="preserve"># reset data/db.json to the synthetic seed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            </w:t>
      </w:r>
      <w:r>
        <w:rPr>
          <w:rStyle w:val="CommentTok"/>
        </w:rPr>
        <w:t xml:space="preserve"># portal at http://localhost:3000 (use localhost, not 127.0.0.1)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 </w:t>
      </w:r>
      <w:r>
        <w:rPr>
          <w:rStyle w:val="CommentTok"/>
        </w:rPr>
        <w:t xml:space="preserve"># automated T1–T8 suite -&gt; evidence/test-run-log.json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demo:crypto  </w:t>
      </w:r>
      <w:r>
        <w:rPr>
          <w:rStyle w:val="CommentTok"/>
        </w:rPr>
        <w:t xml:space="preserve"># Part B AES-256-GCM demo</w:t>
      </w:r>
      <w:r>
        <w:br/>
      </w:r>
      <w:r>
        <w:rPr>
          <w:rStyle w:val="CommentTok"/>
        </w:rPr>
        <w:t xml:space="preserve"># optional real-browser run + screenshots: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--no-save</w:t>
      </w:r>
      <w:r>
        <w:rPr>
          <w:rStyle w:val="NormalTok"/>
        </w:rPr>
        <w:t xml:space="preserve"> playwright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playwright install chromium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scripts/browser-evidence.mjs</w:t>
      </w:r>
    </w:p>
    <w:bookmarkEnd w:id="21"/>
    <w:bookmarkStart w:id="22" w:name="browser-authenticator-setup"/>
    <w:p>
      <w:pPr>
        <w:pStyle w:val="Heading2"/>
      </w:pPr>
      <w:r>
        <w:t xml:space="preserve">3. Browser / authenticator setup</w:t>
      </w:r>
    </w:p>
    <w:p>
      <w:pPr>
        <w:pStyle w:val="FirstParagraph"/>
      </w:pPr>
      <w:r>
        <w:t xml:space="preserve">Use Chrome, Edge or Safari at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, a secure context. You can use either of these: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Platform authenticator:</w:t>
      </w:r>
      <w:r>
        <w:t xml:space="preserve"> </w:t>
      </w:r>
      <w:r>
        <w:t xml:space="preserve">Touch ID or iCloud Keychain, Windows Hello, or a password-manager passkey.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Chrome DevTools virtual authenticator:</w:t>
      </w:r>
      <w:r>
        <w:t xml:space="preserve"> </w:t>
      </w:r>
      <w:r>
        <w:t xml:space="preserve">DevTools → ⋮ → More tools →</w:t>
      </w:r>
      <w:r>
        <w:t xml:space="preserve"> </w:t>
      </w:r>
      <w:r>
        <w:rPr>
          <w:bCs/>
          <w:b/>
        </w:rPr>
        <w:t xml:space="preserve">WebAuthn</w:t>
      </w:r>
      <w:r>
        <w:t xml:space="preserve">. Tick</w:t>
      </w:r>
      <w:r>
        <w:t xml:space="preserve"> </w:t>
      </w:r>
      <w:r>
        <w:rPr>
          <w:iCs/>
          <w:i/>
        </w:rPr>
        <w:t xml:space="preserve">Enable virtual authenticator environment</w:t>
      </w:r>
      <w:r>
        <w:t xml:space="preserve">, choose</w:t>
      </w:r>
      <w:r>
        <w:t xml:space="preserve"> </w:t>
      </w:r>
      <w:r>
        <w:rPr>
          <w:rStyle w:val="VerbatimChar"/>
        </w:rPr>
        <w:t xml:space="preserve">ctap2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internal</w:t>
      </w:r>
      <w:r>
        <w:t xml:space="preserve">, tick</w:t>
      </w:r>
      <w:r>
        <w:t xml:space="preserve"> </w:t>
      </w:r>
      <w:r>
        <w:rPr>
          <w:iCs/>
          <w:i/>
        </w:rPr>
        <w:t xml:space="preserve">resident keys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user verification</w:t>
      </w:r>
      <w:r>
        <w:t xml:space="preserve">, then click</w:t>
      </w:r>
      <w:r>
        <w:t xml:space="preserve"> </w:t>
      </w:r>
      <w:r>
        <w:rPr>
          <w:bCs/>
          <w:b/>
        </w:rPr>
        <w:t xml:space="preserve">Add</w:t>
      </w:r>
      <w:r>
        <w:t xml:space="preserve">.</w:t>
      </w:r>
    </w:p>
    <w:bookmarkEnd w:id="22"/>
    <w:bookmarkStart w:id="23" w:name="test-accounts-dataseed.json"/>
    <w:p>
      <w:pPr>
        <w:pStyle w:val="Heading2"/>
      </w:pPr>
      <w:r>
        <w:t xml:space="preserve">4. Test accounts (</w:t>
      </w:r>
      <w:r>
        <w:rPr>
          <w:rStyle w:val="VerbatimChar"/>
        </w:rPr>
        <w:t xml:space="preserve">data/seed.json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12"/>
        <w:gridCol w:w="1742"/>
        <w:gridCol w:w="3009"/>
        <w:gridCol w:w="2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/ 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One-time enrollment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 Mensah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student, C101 (B+ / 84)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ENROLL-S001-8492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Kofi Owusu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student, C101 (A- / 88)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ENROLL-S002-3174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 Esi Boateng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lecturer assigned to C101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ENROLL-L001-6059</w:t>
            </w:r>
          </w:p>
        </w:tc>
      </w:tr>
    </w:tbl>
    <w:bookmarkEnd w:id="23"/>
    <w:bookmarkStart w:id="28" w:name="repeating-t1t8"/>
    <w:p>
      <w:pPr>
        <w:pStyle w:val="Heading2"/>
      </w:pPr>
      <w:r>
        <w:t xml:space="preserve">5. Repeating T1–T8</w:t>
      </w:r>
    </w:p>
    <w:p>
      <w:pPr>
        <w:pStyle w:val="FirstParagraph"/>
      </w:pPr>
      <w:r>
        <w:rPr>
          <w:rStyle w:val="VerbatimChar"/>
        </w:rPr>
        <w:t xml:space="preserve">npm test</w:t>
      </w:r>
      <w:r>
        <w:t xml:space="preserve"> </w:t>
      </w:r>
      <w:r>
        <w:t xml:space="preserve">runs all eight. To run them by hand, run</w:t>
      </w:r>
      <w:r>
        <w:t xml:space="preserve"> </w:t>
      </w:r>
      <w:r>
        <w:rPr>
          <w:rStyle w:val="VerbatimChar"/>
        </w:rPr>
        <w:t xml:space="preserve">npm run reset &amp;&amp; npm start</w:t>
      </w:r>
      <w:r>
        <w:t xml:space="preserve">. The T3–T7 probe buttons are on</w:t>
      </w:r>
      <w:r>
        <w:t xml:space="preserve"> </w:t>
      </w:r>
      <w:r>
        <w:rPr>
          <w:bCs/>
          <w:b/>
        </w:rPr>
        <w:t xml:space="preserve">Security Lab</w:t>
      </w:r>
      <w:r>
        <w:t xml:space="preserve"> </w:t>
      </w:r>
      <w:r>
        <w:t xml:space="preserve">(</w:t>
      </w:r>
      <w:r>
        <w:rPr>
          <w:rStyle w:val="VerbatimChar"/>
        </w:rPr>
        <w:t xml:space="preserve">#/lab</w:t>
      </w:r>
      <w:r>
        <w:t xml:space="preserve">), which also opens while signed out.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75"/>
        <w:gridCol w:w="506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Set up passkey</w:t>
            </w:r>
            <w:r>
              <w:t xml:space="preserve"> </w:t>
            </w:r>
            <w:r>
              <w:t xml:space="preserve">tab →</w:t>
            </w:r>
            <w:r>
              <w:t xml:space="preserve"> </w:t>
            </w:r>
            <w:r>
              <w:rPr>
                <w:rStyle w:val="VerbatimChar"/>
              </w:rPr>
              <w:t xml:space="preserve">S001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ENROLL-S001-8492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Register Passkey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200; public key stored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Sign in</w:t>
            </w:r>
            <w:r>
              <w:t xml:space="preserve"> </w:t>
            </w:r>
            <w:r>
              <w:t xml:space="preserve">tab →</w:t>
            </w:r>
            <w:r>
              <w:t xml:space="preserve"> </w:t>
            </w:r>
            <w:r>
              <w:rPr>
                <w:rStyle w:val="VerbatimChar"/>
              </w:rPr>
              <w:t xml:space="preserve">S001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Sign In with Passkey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200; session 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in, click</w:t>
            </w:r>
            <w:r>
              <w:t xml:space="preserve"> </w:t>
            </w:r>
            <w:r>
              <w:rPr>
                <w:bCs/>
                <w:b/>
              </w:rPr>
              <w:t xml:space="preserve">Submit Tampered/Replayed Login (T3)</w:t>
            </w:r>
            <w:r>
              <w:t xml:space="preserve">; it replays your real assertion, then a copy with one signature byte flipped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 (400 with no pending challenge); no new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Sign Out</w:t>
            </w:r>
            <w:r>
              <w:t xml:space="preserve">, then</w:t>
            </w:r>
            <w:r>
              <w:t xml:space="preserve"> </w:t>
            </w:r>
            <w:r>
              <w:rPr>
                <w:bCs/>
                <w:b/>
              </w:rPr>
              <w:t xml:space="preserve">Request S001 Record (T4 / T5)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curl -i http://localhost:3000/students/S001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S001:</w:t>
            </w:r>
            <w:r>
              <w:t xml:space="preserve"> </w:t>
            </w:r>
            <w:r>
              <w:rPr>
                <w:bCs/>
                <w:b/>
              </w:rPr>
              <w:t xml:space="preserve">My Record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Cs/>
                <w:b/>
              </w:rPr>
              <w:t xml:space="preserve">Request S001 Record (T4 / T5)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S001: open</w:t>
            </w:r>
            <w:r>
              <w:t xml:space="preserve"> </w:t>
            </w:r>
            <w:r>
              <w:rPr>
                <w:rStyle w:val="VerbatimChar"/>
              </w:rPr>
              <w:t xml:space="preserve">#/students/S002</w:t>
            </w:r>
            <w:r>
              <w:t xml:space="preserve">, click</w:t>
            </w:r>
            <w:r>
              <w:t xml:space="preserve"> </w:t>
            </w:r>
            <w:r>
              <w:rPr>
                <w:bCs/>
                <w:b/>
              </w:rPr>
              <w:t xml:space="preserve">Request S002 Record (T6 ID Tamper)</w:t>
            </w:r>
            <w:r>
              <w:t xml:space="preserve">, or curl</w:t>
            </w:r>
            <w:r>
              <w:t xml:space="preserve"> </w:t>
            </w:r>
            <w:r>
              <w:rPr>
                <w:rStyle w:val="VerbatimChar"/>
              </w:rPr>
              <w:t xml:space="preserve">/students/S002</w:t>
            </w:r>
            <w:r>
              <w:t xml:space="preserve"> </w:t>
            </w:r>
            <w:r>
              <w:t xml:space="preserve">with the S001</w:t>
            </w:r>
            <w:r>
              <w:t xml:space="preserve"> </w:t>
            </w:r>
            <w:r>
              <w:rPr>
                <w:rStyle w:val="VerbatimChar"/>
              </w:rPr>
              <w:t xml:space="preserve">portal.sid</w:t>
            </w:r>
            <w:r>
              <w:t xml:space="preserve"> </w:t>
            </w:r>
            <w:r>
              <w:t xml:space="preserve">cookie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S001:</w:t>
            </w:r>
            <w:r>
              <w:t xml:space="preserve"> </w:t>
            </w:r>
            <w:r>
              <w:rPr>
                <w:bCs/>
                <w:b/>
              </w:rPr>
              <w:t xml:space="preserve">Submit Grade Update Request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curl -X POST …/courses/C101/grades/S001 -d '{"grade":"A","score":100}'</w:t>
            </w:r>
            <w:r>
              <w:t xml:space="preserve"> </w:t>
            </w:r>
            <w:r>
              <w:t xml:space="preserve">with the S001 cookie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403; grade stays B+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Enroll and sign in as</w:t>
            </w:r>
            <w:r>
              <w:t xml:space="preserve"> </w:t>
            </w:r>
            <w:r>
              <w:rPr>
                <w:rStyle w:val="VerbatimChar"/>
              </w:rPr>
              <w:t xml:space="preserve">L001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Course Roster</w:t>
            </w:r>
            <w:r>
              <w:t xml:space="preserve"> </w:t>
            </w:r>
            <w:r>
              <w:t xml:space="preserve">→ S001 = A / 94 →</w:t>
            </w:r>
            <w:r>
              <w:t xml:space="preserve"> </w:t>
            </w:r>
            <w:r>
              <w:rPr>
                <w:bCs/>
                <w:b/>
              </w:rPr>
              <w:t xml:space="preserve">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200; grade updated</w:t>
            </w:r>
          </w:p>
        </w:tc>
      </w:tr>
    </w:tbl>
    <w:p>
      <w:pPr>
        <w:pStyle w:val="BodyText"/>
      </w:pPr>
      <w:r>
        <w:t xml:space="preserve">Evidence:</w:t>
      </w:r>
      <w:r>
        <w:t xml:space="preserve"> </w:t>
      </w:r>
      <w:hyperlink r:id="rId24">
        <w:r>
          <w:rPr>
            <w:rStyle w:val="VerbatimChar"/>
          </w:rPr>
          <w:t xml:space="preserve">EVIDENCE_REPORT.md</w:t>
        </w:r>
      </w:hyperlink>
      <w:r>
        <w:t xml:space="preserve"> </w:t>
      </w:r>
      <w:r>
        <w:t xml:space="preserve">· screenshots in</w:t>
      </w:r>
      <w:r>
        <w:t xml:space="preserve"> </w:t>
      </w:r>
      <w:hyperlink r:id="rId25">
        <w:r>
          <w:rPr>
            <w:rStyle w:val="VerbatimChar"/>
          </w:rPr>
          <w:t xml:space="preserve">evidence/screenshots/</w:t>
        </w:r>
      </w:hyperlink>
      <w:r>
        <w:t xml:space="preserve"> </w:t>
      </w:r>
      <w:r>
        <w:t xml:space="preserve">·</w:t>
      </w:r>
      <w:r>
        <w:t xml:space="preserve"> </w:t>
      </w:r>
      <w:hyperlink r:id="rId26">
        <w:r>
          <w:rPr>
            <w:rStyle w:val="VerbatimChar"/>
          </w:rPr>
          <w:t xml:space="preserve">PART_B_ADDENDUM.md</w:t>
        </w:r>
      </w:hyperlink>
      <w:r>
        <w:t xml:space="preserve"> </w:t>
      </w:r>
      <w:r>
        <w:t xml:space="preserve">·</w:t>
      </w:r>
      <w:r>
        <w:t xml:space="preserve"> </w:t>
      </w:r>
      <w:hyperlink r:id="rId27">
        <w:r>
          <w:rPr>
            <w:rStyle w:val="VerbatimChar"/>
          </w:rPr>
          <w:t xml:space="preserve">AI_TOOLS_DECLARATION.md</w:t>
        </w:r>
      </w:hyperlink>
    </w:p>
    <w:bookmarkEnd w:id="28"/>
    <w:bookmarkEnd w:id="29"/>
    <w:sectPr>
      <w:pgSz w:h="16838" w:w="11906"/>
      <w:pgMar w:bottom="737" w:footer="400" w:gutter="0" w:header="400" w:left="737" w:right="737" w:top="73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18"/>
        <w:szCs w:val="18"/>
        <w:lang w:bidi="ar-SA" w:eastAsia="en-US" w:val="en-US"/>
      </w:rPr>
    </w:rPrDefault>
    <w:pPrDefault>
      <w:pPr>
        <w:spacing w:after="60" w:line="25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70" w:before="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qFormat/>
    <w:pPr>
      <w:keepNext/>
      <w:keepLines/>
      <w:spacing w:after="50" w:before="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0"/>
      <w:szCs w:val="30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50" w:before="12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50" w:before="16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2"/>
      <w:szCs w:val="22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50" w:before="1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19"/>
      <w:szCs w:val="19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D9C9CC" w:sz="4" w:val="single"/>
        <w:left w:color="D9C9CC" w:sz="4" w:val="single"/>
        <w:bottom w:color="D9C9CC" w:sz="4" w:val="single"/>
        <w:right w:color="D9C9CC" w:sz="4" w:val="single"/>
        <w:insideH w:color="D9C9CC" w:sz="4" w:val="single"/>
        <w:insideV w:color="D9C9CC" w:sz="4" w:val="single"/>
      </w:tblBorders>
      <w:tblCellMar>
        <w:top w:type="dxa" w:w="20"/>
        <w:left w:type="dxa" w:w="70"/>
        <w:bottom w:type="dxa" w:w="20"/>
        <w:right w:type="dxa" w:w="70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AI_TOOLS_DECLARATION.md" TargetMode="External" /><Relationship Type="http://schemas.openxmlformats.org/officeDocument/2006/relationships/hyperlink" Id="rId24" Target="EVIDENCE_REPORT.md" TargetMode="External" /><Relationship Type="http://schemas.openxmlformats.org/officeDocument/2006/relationships/hyperlink" Id="rId26" Target="PART_B_ADDENDUM.md" TargetMode="External" /><Relationship Type="http://schemas.openxmlformats.org/officeDocument/2006/relationships/hyperlink" Id="rId25" Target="evidence/screenshot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AI_TOOLS_DECLARATION.md" TargetMode="External" /><Relationship Type="http://schemas.openxmlformats.org/officeDocument/2006/relationships/hyperlink" Id="rId24" Target="EVIDENCE_REPORT.md" TargetMode="External" /><Relationship Type="http://schemas.openxmlformats.org/officeDocument/2006/relationships/hyperlink" Id="rId26" Target="PART_B_ADDENDUM.md" TargetMode="External" /><Relationship Type="http://schemas.openxmlformats.org/officeDocument/2006/relationships/hyperlink" Id="rId25" Target="evidence/screenshot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2026-10-17T16:00:18Z</dcterms:created>
  <dcterms:modified xsi:type="dcterms:W3CDTF">2026-10-17T16:00:18Z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